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DD3CE">
      <w:pPr>
        <w:jc w:val="center"/>
        <w:rPr>
          <w:rFonts w:cs="微软雅黑"/>
          <w:b/>
          <w:bCs/>
          <w:sz w:val="52"/>
        </w:rPr>
      </w:pPr>
    </w:p>
    <w:p w14:paraId="16034394">
      <w:pPr>
        <w:jc w:val="center"/>
        <w:rPr>
          <w:rFonts w:cs="微软雅黑"/>
          <w:b/>
          <w:bCs/>
          <w:sz w:val="52"/>
        </w:rPr>
      </w:pPr>
    </w:p>
    <w:p w14:paraId="16445206">
      <w:pPr>
        <w:jc w:val="center"/>
        <w:rPr>
          <w:rFonts w:cs="微软雅黑"/>
          <w:b/>
          <w:bCs/>
          <w:sz w:val="52"/>
        </w:rPr>
      </w:pPr>
      <w:r>
        <w:rPr>
          <w:rFonts w:hint="eastAsia" w:cs="微软雅黑"/>
          <w:b/>
          <w:bCs/>
          <w:sz w:val="52"/>
        </w:rPr>
        <w:t>2026年具身智能安全巡查上装仪表及开发支撑服务项目</w:t>
      </w:r>
      <w:bookmarkStart w:id="0" w:name="_GoBack"/>
      <w:bookmarkEnd w:id="0"/>
      <w:r>
        <w:rPr>
          <w:rFonts w:hint="eastAsia" w:cs="微软雅黑"/>
          <w:b/>
          <w:bCs/>
          <w:sz w:val="52"/>
        </w:rPr>
        <w:t>技术规范书</w:t>
      </w:r>
    </w:p>
    <w:p w14:paraId="560B5EB6">
      <w:pPr>
        <w:ind w:left="10" w:right="216" w:hanging="10"/>
        <w:jc w:val="center"/>
        <w:rPr>
          <w:rFonts w:cs="微软雅黑"/>
          <w:b/>
          <w:bCs/>
          <w:sz w:val="32"/>
        </w:rPr>
      </w:pPr>
    </w:p>
    <w:p w14:paraId="0D3D3E3E">
      <w:pPr>
        <w:ind w:left="10" w:right="216" w:hanging="10"/>
        <w:jc w:val="center"/>
        <w:rPr>
          <w:rFonts w:cs="微软雅黑"/>
          <w:b/>
          <w:bCs/>
          <w:sz w:val="32"/>
        </w:rPr>
      </w:pPr>
    </w:p>
    <w:p w14:paraId="01898700">
      <w:pPr>
        <w:ind w:left="10" w:right="216" w:hanging="10"/>
        <w:jc w:val="center"/>
        <w:rPr>
          <w:rFonts w:cs="微软雅黑"/>
          <w:b/>
          <w:bCs/>
          <w:sz w:val="32"/>
        </w:rPr>
      </w:pPr>
    </w:p>
    <w:p w14:paraId="140CC080">
      <w:pPr>
        <w:ind w:left="10" w:right="216" w:hanging="10"/>
        <w:jc w:val="center"/>
        <w:rPr>
          <w:rFonts w:cs="微软雅黑"/>
          <w:b/>
          <w:bCs/>
          <w:sz w:val="32"/>
        </w:rPr>
      </w:pPr>
    </w:p>
    <w:p w14:paraId="4841BC80">
      <w:pPr>
        <w:ind w:left="10" w:right="216" w:hanging="10"/>
        <w:jc w:val="center"/>
        <w:rPr>
          <w:rFonts w:cs="微软雅黑"/>
          <w:b/>
          <w:bCs/>
          <w:sz w:val="32"/>
        </w:rPr>
      </w:pPr>
    </w:p>
    <w:p w14:paraId="1CE96337">
      <w:pPr>
        <w:ind w:left="10" w:right="216" w:hanging="10"/>
        <w:jc w:val="center"/>
        <w:rPr>
          <w:rFonts w:cs="微软雅黑"/>
          <w:b/>
          <w:bCs/>
          <w:sz w:val="32"/>
        </w:rPr>
      </w:pPr>
    </w:p>
    <w:p w14:paraId="408FF592">
      <w:pPr>
        <w:ind w:left="10" w:right="216" w:hanging="10"/>
        <w:jc w:val="center"/>
        <w:rPr>
          <w:rFonts w:cs="微软雅黑"/>
          <w:b/>
          <w:bCs/>
          <w:sz w:val="32"/>
        </w:rPr>
      </w:pPr>
    </w:p>
    <w:p w14:paraId="6DCCAB8B">
      <w:pPr>
        <w:ind w:left="10" w:right="216" w:hanging="10"/>
        <w:jc w:val="center"/>
        <w:rPr>
          <w:rFonts w:cs="微软雅黑"/>
          <w:b/>
          <w:bCs/>
          <w:sz w:val="32"/>
        </w:rPr>
      </w:pPr>
    </w:p>
    <w:p w14:paraId="5FDDD49A">
      <w:pPr>
        <w:ind w:left="10" w:right="216" w:hanging="10"/>
        <w:jc w:val="center"/>
        <w:rPr>
          <w:rFonts w:cs="微软雅黑"/>
          <w:b/>
          <w:bCs/>
          <w:sz w:val="32"/>
        </w:rPr>
      </w:pPr>
    </w:p>
    <w:p w14:paraId="5C32015E">
      <w:pPr>
        <w:ind w:left="10" w:right="216" w:hanging="10"/>
        <w:jc w:val="center"/>
        <w:rPr>
          <w:rFonts w:cs="微软雅黑"/>
          <w:b/>
          <w:bCs/>
          <w:sz w:val="32"/>
        </w:rPr>
      </w:pPr>
    </w:p>
    <w:p w14:paraId="056B62CC">
      <w:pPr>
        <w:ind w:left="10" w:right="216" w:hanging="10"/>
        <w:jc w:val="center"/>
        <w:rPr>
          <w:rFonts w:cs="微软雅黑"/>
          <w:b/>
          <w:bCs/>
          <w:sz w:val="32"/>
        </w:rPr>
      </w:pPr>
    </w:p>
    <w:p w14:paraId="03B9D1F4">
      <w:pPr>
        <w:ind w:left="10" w:right="216" w:hanging="10"/>
        <w:jc w:val="center"/>
        <w:rPr>
          <w:rFonts w:cs="微软雅黑"/>
          <w:b/>
          <w:bCs/>
          <w:sz w:val="32"/>
        </w:rPr>
      </w:pPr>
    </w:p>
    <w:p w14:paraId="0AB826B4">
      <w:pPr>
        <w:ind w:right="216"/>
        <w:rPr>
          <w:rFonts w:cs="微软雅黑"/>
          <w:b/>
          <w:bCs/>
          <w:sz w:val="32"/>
        </w:rPr>
      </w:pPr>
    </w:p>
    <w:p w14:paraId="55B18F8C">
      <w:pPr>
        <w:ind w:left="10" w:right="216" w:hanging="10"/>
        <w:jc w:val="center"/>
        <w:rPr>
          <w:b/>
          <w:bCs/>
        </w:rPr>
      </w:pPr>
      <w:r>
        <w:rPr>
          <w:rFonts w:cs="微软雅黑"/>
          <w:b/>
          <w:bCs/>
          <w:sz w:val="32"/>
        </w:rPr>
        <w:t>中移湾区（广东）创新研究院有限公司</w:t>
      </w:r>
    </w:p>
    <w:p w14:paraId="17DCC4A1">
      <w:pPr>
        <w:ind w:left="10" w:right="216" w:hanging="10"/>
        <w:jc w:val="center"/>
        <w:rPr>
          <w:rFonts w:cs="微软雅黑"/>
          <w:b/>
          <w:bCs/>
          <w:sz w:val="32"/>
        </w:rPr>
      </w:pPr>
      <w:r>
        <w:rPr>
          <w:rFonts w:cs="微软雅黑"/>
          <w:b/>
          <w:bCs/>
          <w:sz w:val="32"/>
        </w:rPr>
        <w:t>202</w:t>
      </w:r>
      <w:r>
        <w:rPr>
          <w:rFonts w:hint="eastAsia" w:cs="微软雅黑"/>
          <w:b/>
          <w:bCs/>
          <w:sz w:val="32"/>
        </w:rPr>
        <w:t>6</w:t>
      </w:r>
      <w:r>
        <w:rPr>
          <w:rFonts w:cs="微软雅黑"/>
          <w:b/>
          <w:bCs/>
          <w:sz w:val="32"/>
        </w:rPr>
        <w:t>年7月</w:t>
      </w:r>
    </w:p>
    <w:p w14:paraId="0B701501">
      <w:pPr>
        <w:ind w:left="10" w:right="216" w:hanging="10"/>
        <w:jc w:val="center"/>
        <w:rPr>
          <w:rFonts w:cs="微软雅黑"/>
          <w:b/>
          <w:bCs/>
          <w:sz w:val="32"/>
        </w:rPr>
      </w:pPr>
    </w:p>
    <w:p w14:paraId="65E289E6">
      <w:pPr>
        <w:pStyle w:val="2"/>
        <w:rPr>
          <w:rFonts w:cs="微软雅黑"/>
          <w:szCs w:val="24"/>
        </w:rPr>
      </w:pPr>
      <w:r>
        <w:rPr>
          <w:rFonts w:hint="eastAsia" w:cs="微软雅黑"/>
          <w:szCs w:val="24"/>
        </w:rPr>
        <w:t xml:space="preserve"> 总则</w:t>
      </w:r>
    </w:p>
    <w:p w14:paraId="3ED121C9">
      <w:pPr>
        <w:pStyle w:val="3"/>
      </w:pPr>
      <w:r>
        <w:rPr>
          <w:rFonts w:hint="eastAsia"/>
        </w:rPr>
        <w:t xml:space="preserve"> 概述</w:t>
      </w:r>
    </w:p>
    <w:p w14:paraId="7809DEB4">
      <w:pPr>
        <w:ind w:right="216"/>
        <w:rPr>
          <w:rFonts w:cs="微软雅黑"/>
          <w:szCs w:val="24"/>
        </w:rPr>
      </w:pPr>
      <w:r>
        <w:rPr>
          <w:rFonts w:hint="eastAsia" w:cs="微软雅黑"/>
          <w:szCs w:val="24"/>
        </w:rPr>
        <w:t>1.</w:t>
      </w:r>
      <w:r>
        <w:rPr>
          <w:rFonts w:hint="eastAsia" w:cs="微软雅黑"/>
          <w:szCs w:val="24"/>
        </w:rPr>
        <w:tab/>
      </w:r>
      <w:r>
        <w:rPr>
          <w:rFonts w:hint="eastAsia" w:cs="微软雅黑"/>
          <w:szCs w:val="24"/>
        </w:rPr>
        <w:t>本文件为中移湾区（广东）创新研究院有限公司（以下称为“甲方”）对能够提供</w:t>
      </w:r>
      <w:r>
        <w:rPr>
          <w:rFonts w:hint="eastAsia" w:cs="微软雅黑"/>
          <w:szCs w:val="24"/>
          <w:lang w:val="en-US" w:eastAsia="zh-CN"/>
        </w:rPr>
        <w:t>机器人上装仪表模组硬件以及配套具身智能安全巡查技术支撑外协</w:t>
      </w:r>
      <w:r>
        <w:rPr>
          <w:rFonts w:hint="eastAsia" w:cs="微软雅黑"/>
          <w:szCs w:val="24"/>
        </w:rPr>
        <w:t>服务的供应商单位（以下称为“乙方”）提出的技术规范书。本规范书将作为乙方应答本项目的基础。</w:t>
      </w:r>
    </w:p>
    <w:p w14:paraId="2DB1928F">
      <w:pPr>
        <w:ind w:right="216"/>
        <w:rPr>
          <w:rFonts w:cs="微软雅黑"/>
          <w:szCs w:val="24"/>
        </w:rPr>
      </w:pPr>
      <w:r>
        <w:rPr>
          <w:rFonts w:hint="eastAsia" w:cs="微软雅黑"/>
          <w:szCs w:val="24"/>
        </w:rPr>
        <w:t>2.</w:t>
      </w:r>
      <w:r>
        <w:rPr>
          <w:rFonts w:hint="eastAsia" w:cs="微软雅黑"/>
          <w:szCs w:val="24"/>
        </w:rPr>
        <w:tab/>
      </w:r>
      <w:r>
        <w:rPr>
          <w:rFonts w:hint="eastAsia" w:cs="微软雅黑"/>
          <w:szCs w:val="24"/>
        </w:rPr>
        <w:t>本技术规范书的解释权属于甲方。</w:t>
      </w:r>
    </w:p>
    <w:p w14:paraId="10503279">
      <w:pPr>
        <w:ind w:right="216"/>
        <w:rPr>
          <w:rFonts w:cs="微软雅黑"/>
          <w:szCs w:val="24"/>
        </w:rPr>
      </w:pPr>
    </w:p>
    <w:p w14:paraId="6FACFA1C">
      <w:pPr>
        <w:pStyle w:val="2"/>
      </w:pPr>
      <w:r>
        <w:rPr>
          <w:rFonts w:hint="eastAsia"/>
        </w:rPr>
        <w:t xml:space="preserve"> 技术服务内容</w:t>
      </w:r>
    </w:p>
    <w:p w14:paraId="5A04002D">
      <w:pPr>
        <w:ind w:right="216" w:firstLine="480" w:firstLineChars="200"/>
        <w:rPr>
          <w:rFonts w:cs="微软雅黑"/>
          <w:szCs w:val="24"/>
        </w:rPr>
      </w:pPr>
      <w:r>
        <w:rPr>
          <w:rFonts w:hint="eastAsia" w:cs="微软雅黑"/>
          <w:szCs w:val="24"/>
        </w:rPr>
        <w:t>（1）</w:t>
      </w:r>
      <w:r>
        <w:rPr>
          <w:rFonts w:cs="微软雅黑"/>
          <w:szCs w:val="24"/>
        </w:rPr>
        <w:t>机器人上装仪表</w:t>
      </w:r>
      <w:r>
        <w:rPr>
          <w:rFonts w:hint="eastAsia" w:cs="微软雅黑"/>
          <w:szCs w:val="24"/>
        </w:rPr>
        <w:t>模组硬件</w:t>
      </w:r>
    </w:p>
    <w:p w14:paraId="6687AFDD">
      <w:pPr>
        <w:ind w:right="215" w:firstLine="480" w:firstLineChars="200"/>
        <w:rPr>
          <w:rFonts w:cs="微软雅黑"/>
          <w:szCs w:val="24"/>
        </w:rPr>
      </w:pPr>
      <w:r>
        <w:rPr>
          <w:rFonts w:hint="eastAsia" w:cs="微软雅黑"/>
          <w:szCs w:val="24"/>
        </w:rPr>
        <w:t>乙方应具备</w:t>
      </w:r>
      <w:r>
        <w:rPr>
          <w:rFonts w:cs="微软雅黑"/>
          <w:szCs w:val="24"/>
        </w:rPr>
        <w:t>机器人上装仪表模组</w:t>
      </w:r>
      <w:r>
        <w:rPr>
          <w:rFonts w:hint="eastAsia" w:cs="微软雅黑"/>
          <w:szCs w:val="24"/>
        </w:rPr>
        <w:t>产品设计或生产经验</w:t>
      </w:r>
      <w:r>
        <w:rPr>
          <w:rFonts w:cs="微软雅黑"/>
          <w:szCs w:val="24"/>
        </w:rPr>
        <w:t>，</w:t>
      </w:r>
      <w:r>
        <w:rPr>
          <w:rFonts w:hint="eastAsia" w:cs="微软雅黑"/>
          <w:szCs w:val="24"/>
        </w:rPr>
        <w:t>为甲方提供相关硬件产品及服务，四足机器人加装该模组后，</w:t>
      </w:r>
      <w:r>
        <w:rPr>
          <w:rFonts w:cs="微软雅黑"/>
          <w:szCs w:val="24"/>
        </w:rPr>
        <w:t>具备室内外多类型复杂地形适应、自主导航定位、</w:t>
      </w:r>
      <w:r>
        <w:rPr>
          <w:rFonts w:hint="eastAsia" w:cs="微软雅黑"/>
          <w:szCs w:val="24"/>
          <w:lang w:val="en-US" w:eastAsia="zh-CN"/>
        </w:rPr>
        <w:t>自主任务执行、</w:t>
      </w:r>
      <w:r>
        <w:rPr>
          <w:rFonts w:cs="微软雅黑"/>
          <w:szCs w:val="24"/>
        </w:rPr>
        <w:t>多模态数据采集及远程协同控制</w:t>
      </w:r>
      <w:r>
        <w:rPr>
          <w:rFonts w:hint="eastAsia" w:cs="微软雅黑"/>
          <w:szCs w:val="24"/>
          <w:lang w:val="en-US" w:eastAsia="zh-CN"/>
        </w:rPr>
        <w:t>等</w:t>
      </w:r>
      <w:r>
        <w:rPr>
          <w:rFonts w:cs="微软雅黑"/>
          <w:szCs w:val="24"/>
        </w:rPr>
        <w:t>能力，并提供标准化的软硬件二次开发接口，支持业务的快速部署、验证与迭代。</w:t>
      </w:r>
    </w:p>
    <w:p w14:paraId="7E72923D">
      <w:pPr>
        <w:ind w:right="216" w:firstLine="480" w:firstLineChars="200"/>
        <w:rPr>
          <w:rFonts w:cs="微软雅黑"/>
          <w:szCs w:val="24"/>
        </w:rPr>
      </w:pPr>
      <w:r>
        <w:rPr>
          <w:rFonts w:hint="eastAsia" w:cs="微软雅黑"/>
          <w:szCs w:val="24"/>
        </w:rPr>
        <w:t>（2）具身智能安全巡查业务平台开发支撑</w:t>
      </w:r>
    </w:p>
    <w:p w14:paraId="0C613004">
      <w:pPr>
        <w:ind w:right="215" w:firstLine="480" w:firstLineChars="200"/>
        <w:rPr>
          <w:rFonts w:cs="微软雅黑"/>
          <w:szCs w:val="24"/>
        </w:rPr>
      </w:pPr>
      <w:r>
        <w:rPr>
          <w:rFonts w:hint="eastAsia" w:cs="微软雅黑"/>
          <w:szCs w:val="24"/>
        </w:rPr>
        <w:t>协助需求方基于现有机器人技术架构，完成机器人安全巡查平台、机器狗上装硬件驱动适配及联调等功能与业务逻辑的开发支撑，如地图管理、设备接入管理、巡查任务编排、传感器数据采集与处理、机器人数据显示等；协助需求方针对上装硬件设计统一接入标准API接口等。</w:t>
      </w:r>
    </w:p>
    <w:p w14:paraId="077BB4B1">
      <w:pPr>
        <w:ind w:right="215" w:firstLine="480" w:firstLineChars="200"/>
        <w:rPr>
          <w:rFonts w:cs="微软雅黑"/>
          <w:szCs w:val="24"/>
        </w:rPr>
      </w:pPr>
      <w:r>
        <w:rPr>
          <w:rFonts w:hint="eastAsia" w:cs="微软雅黑"/>
          <w:szCs w:val="24"/>
        </w:rPr>
        <w:t>为甲方提供平台软件开发服务，包括</w:t>
      </w:r>
      <w:r>
        <w:rPr>
          <w:rFonts w:cs="微软雅黑"/>
          <w:szCs w:val="24"/>
        </w:rPr>
        <w:t>用户管理、注册纳管、地图管理、运动与导航管理、任务管理、统计报表等功能模块，以及相应平台界面组成，并实现与机器人调度系统对接、机器人硬件/驱动对接</w:t>
      </w:r>
      <w:r>
        <w:rPr>
          <w:rFonts w:hint="eastAsia" w:cs="微软雅黑"/>
          <w:szCs w:val="24"/>
        </w:rPr>
        <w:t>，支持接入AI算法，同时能够适配多种类型的机器人</w:t>
      </w:r>
      <w:r>
        <w:rPr>
          <w:rFonts w:cs="微软雅黑"/>
          <w:szCs w:val="24"/>
        </w:rPr>
        <w:t>。</w:t>
      </w:r>
    </w:p>
    <w:p w14:paraId="2FCF965C">
      <w:pPr>
        <w:ind w:right="216" w:firstLine="480" w:firstLineChars="200"/>
        <w:rPr>
          <w:rFonts w:cs="微软雅黑"/>
          <w:szCs w:val="24"/>
        </w:rPr>
      </w:pPr>
      <w:r>
        <w:rPr>
          <w:rFonts w:hint="eastAsia" w:cs="微软雅黑"/>
          <w:szCs w:val="24"/>
        </w:rPr>
        <w:t>（3）具身智能安全巡查能力适配及工程化开发支撑</w:t>
      </w:r>
    </w:p>
    <w:p w14:paraId="49C819C5">
      <w:pPr>
        <w:ind w:right="216" w:firstLine="480"/>
        <w:rPr>
          <w:rFonts w:cs="微软雅黑"/>
          <w:szCs w:val="24"/>
        </w:rPr>
      </w:pPr>
      <w:r>
        <w:rPr>
          <w:rFonts w:hint="eastAsia" w:cs="微软雅黑"/>
          <w:szCs w:val="24"/>
        </w:rPr>
        <w:t>协助需求方，基于现有算法架构及原型，提供适配及能力开发支撑及系统工程优化及验证测试：协助需求方基于现有机器人技术架构，并基于机器狗上装硬件平台环境，完成语义导航工程适配及优化、多机协同调度策略工程适配及优化。协助需求方基于机器狗上装硬件接口进行能力开发以及系统性优化，协助进行项目试点工作，进行地图构建、语义标注等工作。</w:t>
      </w:r>
    </w:p>
    <w:p w14:paraId="1C9165F2">
      <w:pPr>
        <w:ind w:right="216" w:firstLine="480"/>
        <w:rPr>
          <w:rFonts w:cs="微软雅黑"/>
          <w:szCs w:val="24"/>
        </w:rPr>
      </w:pPr>
      <w:r>
        <w:rPr>
          <w:rFonts w:hint="eastAsia" w:cs="微软雅黑"/>
          <w:szCs w:val="24"/>
        </w:rPr>
        <w:t>为甲方在语义导航算法与多机协同调度算法的研究开发过程中，提供技术支撑和工程优化服务。语义导航可支持机器人在室外园区路面实现路面信息局部感知（如车辆、人员、停车位、标识线）、全局语义地图构建、基于人机对话交互的智能寻车/物等功能。多机协同调度算法可支持多机器人在园区路面实现协同巡查覆盖，在受机器人集群信息（位置、数量、电量）和巡逻任务（巡逻点位、距离、数量）约束下进行最优规划，支持作为能力模块组建插入到业务平台。</w:t>
      </w:r>
    </w:p>
    <w:p w14:paraId="1100C46B">
      <w:pPr>
        <w:ind w:right="216" w:firstLine="480"/>
        <w:rPr>
          <w:rFonts w:cs="微软雅黑"/>
          <w:szCs w:val="24"/>
        </w:rPr>
      </w:pPr>
      <w:r>
        <w:rPr>
          <w:rFonts w:hint="eastAsia" w:cs="微软雅黑"/>
          <w:szCs w:val="24"/>
        </w:rPr>
        <w:t>乙方指派的向甲方提供技术服务的人员应根据甲方要求，保证按时按质按量完成相关任务。</w:t>
      </w:r>
    </w:p>
    <w:p w14:paraId="215C9EC7">
      <w:pPr>
        <w:ind w:right="216"/>
        <w:rPr>
          <w:rFonts w:hint="eastAsia" w:cs="微软雅黑"/>
          <w:szCs w:val="24"/>
        </w:rPr>
      </w:pPr>
      <w:r>
        <w:rPr>
          <w:rFonts w:hint="eastAsia" w:cs="微软雅黑"/>
          <w:szCs w:val="24"/>
        </w:rPr>
        <w:t>★应答方承诺在技术服务、开发支撑开展过程中形成的研发类外协规范、输出成果（包括但不限于总体设计文档、详细设计文档、系统架构图、算法源代码、软件源代码等）、工具和研发产品等知识产权归中移湾区（广东）创新研究院有限公司所有。</w:t>
      </w:r>
    </w:p>
    <w:p w14:paraId="5D254A7F">
      <w:pPr>
        <w:ind w:right="216"/>
        <w:rPr>
          <w:rFonts w:cs="微软雅黑"/>
          <w:szCs w:val="24"/>
        </w:rPr>
      </w:pPr>
    </w:p>
    <w:p w14:paraId="7AA7D162">
      <w:pPr>
        <w:pStyle w:val="2"/>
      </w:pPr>
      <w:r>
        <w:rPr>
          <w:rFonts w:hint="eastAsia"/>
        </w:rPr>
        <w:t xml:space="preserve"> 技术服务要求</w:t>
      </w:r>
    </w:p>
    <w:p w14:paraId="1318A859">
      <w:pPr>
        <w:pStyle w:val="3"/>
      </w:pPr>
      <w:r>
        <w:rPr>
          <w:rFonts w:hint="eastAsia"/>
        </w:rPr>
        <w:t xml:space="preserve"> 机器人上装仪表模组要求</w:t>
      </w:r>
    </w:p>
    <w:p w14:paraId="33FF08AB">
      <w:pPr>
        <w:pStyle w:val="4"/>
      </w:pPr>
      <w:r>
        <w:rPr>
          <w:rFonts w:hint="eastAsia"/>
        </w:rPr>
        <w:t>3.1.1 适应环境要求</w:t>
      </w:r>
    </w:p>
    <w:p w14:paraId="59FC53A6">
      <w:pPr>
        <w:ind w:right="215" w:firstLine="480" w:firstLineChars="200"/>
        <w:rPr>
          <w:rFonts w:cs="微软雅黑"/>
          <w:szCs w:val="24"/>
        </w:rPr>
      </w:pPr>
      <w:r>
        <w:rPr>
          <w:rFonts w:hint="eastAsia" w:cs="微软雅黑"/>
          <w:szCs w:val="24"/>
        </w:rPr>
        <w:t>运行温度：</w:t>
      </w:r>
      <w:r>
        <w:rPr>
          <w:rFonts w:cs="微软雅黑"/>
          <w:szCs w:val="24"/>
        </w:rPr>
        <w:t>-1</w:t>
      </w:r>
      <w:r>
        <w:rPr>
          <w:rFonts w:hint="eastAsia" w:cs="微软雅黑"/>
          <w:szCs w:val="24"/>
        </w:rPr>
        <w:t>0℃</w:t>
      </w:r>
      <w:r>
        <w:rPr>
          <w:rFonts w:cs="微软雅黑"/>
          <w:szCs w:val="24"/>
        </w:rPr>
        <w:t xml:space="preserve"> ~ 5</w:t>
      </w:r>
      <w:r>
        <w:rPr>
          <w:rFonts w:hint="eastAsia" w:cs="微软雅黑"/>
          <w:szCs w:val="24"/>
        </w:rPr>
        <w:t>0℃；</w:t>
      </w:r>
    </w:p>
    <w:p w14:paraId="4021E4BE">
      <w:pPr>
        <w:ind w:right="215" w:firstLine="480" w:firstLineChars="200"/>
        <w:rPr>
          <w:rFonts w:cs="微软雅黑"/>
          <w:szCs w:val="24"/>
        </w:rPr>
      </w:pPr>
      <w:r>
        <w:rPr>
          <w:rFonts w:hint="eastAsia" w:cs="微软雅黑"/>
          <w:szCs w:val="24"/>
        </w:rPr>
        <w:t>环境条件：室内外无易燃、易爆、腐蚀性气体，无强电磁场干扰。</w:t>
      </w:r>
    </w:p>
    <w:p w14:paraId="6F5113E7">
      <w:pPr>
        <w:ind w:right="215" w:firstLine="480" w:firstLineChars="200"/>
        <w:rPr>
          <w:rFonts w:cs="微软雅黑"/>
          <w:szCs w:val="24"/>
        </w:rPr>
      </w:pPr>
      <w:r>
        <w:rPr>
          <w:rFonts w:hint="eastAsia" w:cs="微软雅黑"/>
          <w:szCs w:val="24"/>
        </w:rPr>
        <w:t>防护等级：</w:t>
      </w:r>
      <w:r>
        <w:rPr>
          <w:rFonts w:cs="微软雅黑"/>
          <w:szCs w:val="24"/>
        </w:rPr>
        <w:t xml:space="preserve"> IP</w:t>
      </w:r>
      <w:r>
        <w:rPr>
          <w:rFonts w:hint="eastAsia" w:cs="微软雅黑"/>
          <w:szCs w:val="24"/>
        </w:rPr>
        <w:t>54及以上</w:t>
      </w:r>
    </w:p>
    <w:p w14:paraId="14757EAE">
      <w:pPr>
        <w:ind w:right="215" w:firstLine="480" w:firstLineChars="200"/>
        <w:rPr>
          <w:rFonts w:cs="微软雅黑"/>
          <w:szCs w:val="24"/>
        </w:rPr>
      </w:pPr>
    </w:p>
    <w:p w14:paraId="7A899321">
      <w:pPr>
        <w:pStyle w:val="4"/>
      </w:pPr>
      <w:r>
        <w:rPr>
          <w:rFonts w:hint="eastAsia"/>
        </w:rPr>
        <w:t>3.1.2 配置要求</w:t>
      </w:r>
    </w:p>
    <w:p w14:paraId="0ADE427E">
      <w:pPr>
        <w:ind w:right="215" w:firstLine="480" w:firstLineChars="200"/>
        <w:rPr>
          <w:rFonts w:cs="微软雅黑"/>
          <w:szCs w:val="24"/>
        </w:rPr>
      </w:pPr>
      <w:r>
        <w:rPr>
          <w:rFonts w:cs="微软雅黑"/>
          <w:szCs w:val="24"/>
        </w:rPr>
        <w:t>需配备双光（可见光+红外光）云台、激光雷达、相机、温湿度传感器等感知模块，算力主控模块，通信模块，以及警示灯、语音对讲（麦克风+扬声器）等模块。</w:t>
      </w:r>
    </w:p>
    <w:p w14:paraId="0BA985A9">
      <w:pPr>
        <w:ind w:right="215" w:firstLine="480" w:firstLineChars="200"/>
        <w:rPr>
          <w:rFonts w:cs="微软雅黑"/>
          <w:szCs w:val="24"/>
        </w:rPr>
      </w:pPr>
    </w:p>
    <w:p w14:paraId="01796C7B">
      <w:pPr>
        <w:pStyle w:val="4"/>
      </w:pPr>
      <w:r>
        <w:rPr>
          <w:rFonts w:hint="eastAsia"/>
        </w:rPr>
        <w:t>3.1.3 功能要求</w:t>
      </w:r>
    </w:p>
    <w:p w14:paraId="2A43541F">
      <w:pPr>
        <w:ind w:right="215" w:firstLine="480" w:firstLineChars="200"/>
        <w:rPr>
          <w:rFonts w:cs="微软雅黑"/>
          <w:szCs w:val="24"/>
        </w:rPr>
      </w:pPr>
      <w:r>
        <w:rPr>
          <w:rFonts w:hint="eastAsia" w:cs="微软雅黑"/>
          <w:szCs w:val="24"/>
        </w:rPr>
        <w:t>自主感知与导航：内置的导航系统应支持在室内外复杂环境中进行自主定位、导航避障、路径规划、自动回充、任务调度与定点巡逻。</w:t>
      </w:r>
    </w:p>
    <w:p w14:paraId="73FEEDE5">
      <w:pPr>
        <w:ind w:right="215" w:firstLine="480" w:firstLineChars="200"/>
        <w:rPr>
          <w:rFonts w:cs="微软雅黑"/>
          <w:szCs w:val="24"/>
        </w:rPr>
      </w:pPr>
      <w:r>
        <w:rPr>
          <w:rFonts w:hint="eastAsia" w:cs="微软雅黑"/>
          <w:szCs w:val="24"/>
        </w:rPr>
        <w:t>远程控制：支持超视距遥控机器人，实现对机器人的远程控制、远程语音喊话及双向语音对话，并支持对各类上装感知设备的远程开关、控制及数据采集。</w:t>
      </w:r>
    </w:p>
    <w:p w14:paraId="15F95E39">
      <w:pPr>
        <w:ind w:right="215" w:firstLine="480" w:firstLineChars="200"/>
        <w:rPr>
          <w:rFonts w:cs="微软雅黑"/>
          <w:szCs w:val="24"/>
        </w:rPr>
      </w:pPr>
      <w:r>
        <w:rPr>
          <w:rFonts w:hint="eastAsia" w:cs="微软雅黑"/>
          <w:szCs w:val="24"/>
        </w:rPr>
        <w:t>开放与协同：提供开放的软件SDK/API，支持集成自定义算法。支持通过无线网络进行任务状态同步与数据信息共享，能够接收协同指令。</w:t>
      </w:r>
    </w:p>
    <w:p w14:paraId="1AA05B7E">
      <w:pPr>
        <w:ind w:right="215" w:firstLine="480" w:firstLineChars="200"/>
        <w:rPr>
          <w:rFonts w:cs="微软雅黑"/>
          <w:szCs w:val="24"/>
        </w:rPr>
      </w:pPr>
    </w:p>
    <w:p w14:paraId="14E2BFC0">
      <w:pPr>
        <w:pStyle w:val="4"/>
      </w:pPr>
      <w:r>
        <w:rPr>
          <w:rFonts w:hint="eastAsia"/>
        </w:rPr>
        <w:t>3.1.4 技术参数</w:t>
      </w:r>
    </w:p>
    <w:tbl>
      <w:tblPr>
        <w:tblStyle w:val="9"/>
        <w:tblW w:w="0" w:type="auto"/>
        <w:tblInd w:w="113" w:type="dxa"/>
        <w:tblLayout w:type="fixed"/>
        <w:tblCellMar>
          <w:top w:w="0" w:type="dxa"/>
          <w:left w:w="108" w:type="dxa"/>
          <w:bottom w:w="0" w:type="dxa"/>
          <w:right w:w="108" w:type="dxa"/>
        </w:tblCellMar>
      </w:tblPr>
      <w:tblGrid>
        <w:gridCol w:w="436"/>
        <w:gridCol w:w="666"/>
        <w:gridCol w:w="1606"/>
        <w:gridCol w:w="5701"/>
      </w:tblGrid>
      <w:tr w14:paraId="51E9CECA">
        <w:trPr>
          <w:trHeight w:val="58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59E2ED75">
            <w:pPr>
              <w:widowControl/>
              <w:jc w:val="center"/>
              <w:rPr>
                <w:rFonts w:cs="宋体"/>
                <w:color w:val="000000"/>
                <w:kern w:val="0"/>
                <w:sz w:val="22"/>
                <w:szCs w:val="22"/>
              </w:rPr>
            </w:pPr>
            <w:r>
              <w:rPr>
                <w:rFonts w:cs="宋体"/>
                <w:color w:val="000000"/>
                <w:kern w:val="0"/>
                <w:sz w:val="22"/>
                <w:szCs w:val="22"/>
              </w:rPr>
              <w:t>1</w:t>
            </w:r>
          </w:p>
        </w:tc>
        <w:tc>
          <w:tcPr>
            <w:tcW w:w="666" w:type="dxa"/>
            <w:vMerge w:val="restart"/>
            <w:tcBorders>
              <w:top w:val="single" w:color="000000" w:sz="8" w:space="0"/>
              <w:left w:val="single" w:color="000000" w:sz="8" w:space="0"/>
              <w:bottom w:val="single" w:color="000000" w:sz="8" w:space="0"/>
              <w:right w:val="single" w:color="000000" w:sz="8" w:space="0"/>
            </w:tcBorders>
            <w:vAlign w:val="center"/>
          </w:tcPr>
          <w:p w14:paraId="71BC90FF">
            <w:pPr>
              <w:widowControl/>
              <w:jc w:val="center"/>
              <w:rPr>
                <w:rFonts w:cs="宋体"/>
                <w:color w:val="000000"/>
                <w:kern w:val="0"/>
                <w:sz w:val="22"/>
                <w:szCs w:val="22"/>
              </w:rPr>
            </w:pPr>
            <w:r>
              <w:rPr>
                <w:rFonts w:cs="宋体"/>
                <w:color w:val="000000"/>
                <w:kern w:val="0"/>
                <w:sz w:val="22"/>
                <w:szCs w:val="22"/>
              </w:rPr>
              <w:t>机器人上装仪表模组</w:t>
            </w: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6A136B43">
            <w:pPr>
              <w:widowControl/>
              <w:jc w:val="left"/>
              <w:rPr>
                <w:rFonts w:cs="宋体"/>
                <w:color w:val="000000"/>
                <w:kern w:val="0"/>
                <w:sz w:val="22"/>
                <w:szCs w:val="22"/>
              </w:rPr>
            </w:pPr>
            <w:r>
              <w:rPr>
                <w:rFonts w:cs="宋体"/>
                <w:color w:val="000000"/>
                <w:kern w:val="0"/>
                <w:sz w:val="22"/>
                <w:szCs w:val="22"/>
              </w:rPr>
              <w:t>定位模块</w:t>
            </w:r>
          </w:p>
        </w:tc>
        <w:tc>
          <w:tcPr>
            <w:tcW w:w="5701" w:type="dxa"/>
            <w:tcBorders>
              <w:top w:val="single" w:color="000000" w:sz="8" w:space="0"/>
              <w:left w:val="single" w:color="000000" w:sz="8" w:space="0"/>
              <w:bottom w:val="single" w:color="000000" w:sz="8" w:space="0"/>
              <w:right w:val="single" w:color="000000" w:sz="8" w:space="0"/>
            </w:tcBorders>
            <w:vAlign w:val="center"/>
          </w:tcPr>
          <w:p w14:paraId="0606E773">
            <w:pPr>
              <w:widowControl/>
              <w:jc w:val="left"/>
              <w:rPr>
                <w:rFonts w:cs="宋体"/>
                <w:color w:val="000000"/>
                <w:kern w:val="0"/>
                <w:sz w:val="22"/>
                <w:szCs w:val="22"/>
              </w:rPr>
            </w:pPr>
            <w:r>
              <w:rPr>
                <w:rFonts w:cs="宋体"/>
                <w:color w:val="000000"/>
                <w:kern w:val="0"/>
                <w:sz w:val="22"/>
                <w:szCs w:val="22"/>
              </w:rPr>
              <w:t>支持高精度GPS定位</w:t>
            </w:r>
            <w:r>
              <w:rPr>
                <w:rFonts w:hint="eastAsia" w:cs="宋体"/>
                <w:color w:val="000000"/>
                <w:kern w:val="0"/>
                <w:sz w:val="22"/>
                <w:szCs w:val="22"/>
              </w:rPr>
              <w:t>，RTK模组</w:t>
            </w:r>
          </w:p>
        </w:tc>
      </w:tr>
      <w:tr w14:paraId="0335A25F">
        <w:trPr>
          <w:trHeight w:val="216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11AEF513">
            <w:pPr>
              <w:widowControl/>
              <w:jc w:val="center"/>
              <w:rPr>
                <w:rFonts w:cs="宋体"/>
                <w:color w:val="000000"/>
                <w:kern w:val="0"/>
                <w:sz w:val="22"/>
                <w:szCs w:val="22"/>
              </w:rPr>
            </w:pPr>
            <w:r>
              <w:rPr>
                <w:rFonts w:cs="宋体"/>
                <w:color w:val="000000"/>
                <w:kern w:val="0"/>
                <w:sz w:val="22"/>
                <w:szCs w:val="22"/>
              </w:rPr>
              <w:t>2</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7FFC9DA2">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193857D9">
            <w:pPr>
              <w:widowControl/>
              <w:jc w:val="left"/>
              <w:rPr>
                <w:rFonts w:cs="宋体"/>
                <w:color w:val="000000"/>
                <w:kern w:val="0"/>
                <w:sz w:val="22"/>
                <w:szCs w:val="22"/>
              </w:rPr>
            </w:pPr>
            <w:r>
              <w:rPr>
                <w:rFonts w:cs="宋体"/>
                <w:color w:val="000000"/>
                <w:kern w:val="0"/>
                <w:sz w:val="22"/>
                <w:szCs w:val="22"/>
              </w:rPr>
              <w:t>计算载板</w:t>
            </w:r>
          </w:p>
        </w:tc>
        <w:tc>
          <w:tcPr>
            <w:tcW w:w="5701" w:type="dxa"/>
            <w:tcBorders>
              <w:top w:val="single" w:color="000000" w:sz="8" w:space="0"/>
              <w:left w:val="single" w:color="000000" w:sz="8" w:space="0"/>
              <w:bottom w:val="single" w:color="000000" w:sz="8" w:space="0"/>
              <w:right w:val="single" w:color="000000" w:sz="8" w:space="0"/>
            </w:tcBorders>
            <w:vAlign w:val="center"/>
          </w:tcPr>
          <w:p w14:paraId="218EED63">
            <w:pPr>
              <w:widowControl/>
              <w:jc w:val="left"/>
              <w:rPr>
                <w:rFonts w:cs="宋体"/>
                <w:color w:val="000000"/>
                <w:kern w:val="0"/>
                <w:sz w:val="22"/>
                <w:szCs w:val="22"/>
              </w:rPr>
            </w:pPr>
            <w:r>
              <w:rPr>
                <w:rFonts w:hint="eastAsia" w:cs="宋体"/>
                <w:color w:val="000000"/>
                <w:kern w:val="0"/>
                <w:sz w:val="22"/>
                <w:szCs w:val="22"/>
              </w:rPr>
              <w:t>AI计算板卡：</w:t>
            </w:r>
            <w:r>
              <w:rPr>
                <w:rFonts w:cs="宋体"/>
                <w:color w:val="000000"/>
                <w:kern w:val="0"/>
                <w:sz w:val="22"/>
                <w:szCs w:val="22"/>
              </w:rPr>
              <w:br w:type="textWrapping"/>
            </w:r>
            <w:r>
              <w:rPr>
                <w:rFonts w:cs="宋体"/>
                <w:color w:val="000000"/>
                <w:kern w:val="0"/>
                <w:sz w:val="22"/>
                <w:szCs w:val="22"/>
              </w:rPr>
              <w:t>（1）具备275Tops</w:t>
            </w:r>
            <w:r>
              <w:rPr>
                <w:rFonts w:hint="eastAsia" w:cs="宋体"/>
                <w:color w:val="000000"/>
                <w:kern w:val="0"/>
                <w:sz w:val="22"/>
                <w:szCs w:val="22"/>
              </w:rPr>
              <w:t>或</w:t>
            </w:r>
            <w:r>
              <w:rPr>
                <w:rFonts w:cs="宋体"/>
                <w:color w:val="000000"/>
                <w:kern w:val="0"/>
                <w:sz w:val="22"/>
                <w:szCs w:val="22"/>
              </w:rPr>
              <w:t>以上算力，64GB以上内存，</w:t>
            </w:r>
            <w:r>
              <w:rPr>
                <w:rFonts w:hint="eastAsia" w:cs="宋体"/>
                <w:color w:val="000000"/>
                <w:kern w:val="0"/>
                <w:sz w:val="22"/>
                <w:szCs w:val="22"/>
              </w:rPr>
              <w:t>至少</w:t>
            </w:r>
            <w:r>
              <w:rPr>
                <w:rFonts w:cs="宋体"/>
                <w:color w:val="000000"/>
                <w:kern w:val="0"/>
                <w:sz w:val="22"/>
                <w:szCs w:val="22"/>
              </w:rPr>
              <w:t>512G</w:t>
            </w:r>
            <w:r>
              <w:rPr>
                <w:rFonts w:hint="eastAsia" w:cs="宋体"/>
                <w:color w:val="000000"/>
                <w:kern w:val="0"/>
                <w:sz w:val="22"/>
                <w:szCs w:val="22"/>
              </w:rPr>
              <w:t>B存储，</w:t>
            </w:r>
            <w:r>
              <w:rPr>
                <w:rFonts w:cs="宋体"/>
                <w:color w:val="000000"/>
                <w:kern w:val="0"/>
                <w:sz w:val="22"/>
                <w:szCs w:val="22"/>
              </w:rPr>
              <w:t>可提供外部访问，并具备新增能力部署的空间；</w:t>
            </w:r>
            <w:r>
              <w:rPr>
                <w:rFonts w:cs="宋体"/>
                <w:color w:val="000000"/>
                <w:kern w:val="0"/>
                <w:sz w:val="22"/>
                <w:szCs w:val="22"/>
              </w:rPr>
              <w:br w:type="textWrapping"/>
            </w:r>
            <w:r>
              <w:rPr>
                <w:rFonts w:hint="eastAsia" w:cs="宋体"/>
                <w:color w:val="000000"/>
                <w:kern w:val="0"/>
                <w:sz w:val="22"/>
                <w:szCs w:val="22"/>
              </w:rPr>
              <w:t>内置计算板卡：</w:t>
            </w:r>
            <w:r>
              <w:rPr>
                <w:rFonts w:cs="宋体"/>
                <w:color w:val="000000"/>
                <w:kern w:val="0"/>
                <w:sz w:val="22"/>
                <w:szCs w:val="22"/>
              </w:rPr>
              <w:br w:type="textWrapping"/>
            </w:r>
            <w:r>
              <w:rPr>
                <w:rFonts w:cs="宋体"/>
                <w:color w:val="000000"/>
                <w:kern w:val="0"/>
                <w:sz w:val="22"/>
                <w:szCs w:val="22"/>
              </w:rPr>
              <w:t>（</w:t>
            </w:r>
            <w:r>
              <w:rPr>
                <w:rFonts w:hint="eastAsia" w:cs="宋体"/>
                <w:color w:val="000000"/>
                <w:kern w:val="0"/>
                <w:sz w:val="22"/>
                <w:szCs w:val="22"/>
              </w:rPr>
              <w:t>1</w:t>
            </w:r>
            <w:r>
              <w:rPr>
                <w:rFonts w:cs="宋体"/>
                <w:color w:val="000000"/>
                <w:kern w:val="0"/>
                <w:sz w:val="22"/>
                <w:szCs w:val="22"/>
              </w:rPr>
              <w:t>）支持大范围空间的建图和定位导航（支持5km以上）、巡航扫描、路径规划、位置校准</w:t>
            </w:r>
            <w:r>
              <w:rPr>
                <w:rFonts w:cs="宋体"/>
                <w:color w:val="000000"/>
                <w:kern w:val="0"/>
                <w:sz w:val="22"/>
                <w:szCs w:val="22"/>
              </w:rPr>
              <w:br w:type="textWrapping"/>
            </w:r>
            <w:r>
              <w:rPr>
                <w:rFonts w:cs="宋体"/>
                <w:color w:val="000000"/>
                <w:kern w:val="0"/>
                <w:sz w:val="22"/>
                <w:szCs w:val="22"/>
              </w:rPr>
              <w:t>（</w:t>
            </w:r>
            <w:r>
              <w:rPr>
                <w:rFonts w:hint="eastAsia" w:cs="宋体"/>
                <w:color w:val="000000"/>
                <w:kern w:val="0"/>
                <w:sz w:val="22"/>
                <w:szCs w:val="22"/>
              </w:rPr>
              <w:t>2</w:t>
            </w:r>
            <w:r>
              <w:rPr>
                <w:rFonts w:cs="宋体"/>
                <w:color w:val="000000"/>
                <w:kern w:val="0"/>
                <w:sz w:val="22"/>
                <w:szCs w:val="22"/>
              </w:rPr>
              <w:t>）支持多地图拼接或管理</w:t>
            </w:r>
            <w:r>
              <w:rPr>
                <w:rFonts w:cs="宋体"/>
                <w:color w:val="000000"/>
                <w:kern w:val="0"/>
                <w:sz w:val="22"/>
                <w:szCs w:val="22"/>
              </w:rPr>
              <w:br w:type="textWrapping"/>
            </w:r>
            <w:r>
              <w:rPr>
                <w:rFonts w:cs="宋体"/>
                <w:color w:val="000000"/>
                <w:kern w:val="0"/>
                <w:sz w:val="22"/>
                <w:szCs w:val="22"/>
              </w:rPr>
              <w:t>（</w:t>
            </w:r>
            <w:r>
              <w:rPr>
                <w:rFonts w:hint="eastAsia" w:cs="宋体"/>
                <w:color w:val="000000"/>
                <w:kern w:val="0"/>
                <w:sz w:val="22"/>
                <w:szCs w:val="22"/>
              </w:rPr>
              <w:t>3</w:t>
            </w:r>
            <w:r>
              <w:rPr>
                <w:rFonts w:cs="宋体"/>
                <w:color w:val="000000"/>
                <w:kern w:val="0"/>
                <w:sz w:val="22"/>
                <w:szCs w:val="22"/>
              </w:rPr>
              <w:t>）支持自动回充</w:t>
            </w:r>
          </w:p>
        </w:tc>
      </w:tr>
      <w:tr w14:paraId="492CCCF6">
        <w:trPr>
          <w:trHeight w:val="58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3BA2BADA">
            <w:pPr>
              <w:widowControl/>
              <w:jc w:val="center"/>
              <w:rPr>
                <w:rFonts w:cs="宋体"/>
                <w:color w:val="000000"/>
                <w:kern w:val="0"/>
                <w:sz w:val="22"/>
                <w:szCs w:val="22"/>
              </w:rPr>
            </w:pPr>
            <w:r>
              <w:rPr>
                <w:rFonts w:cs="宋体"/>
                <w:color w:val="000000"/>
                <w:kern w:val="0"/>
                <w:sz w:val="22"/>
                <w:szCs w:val="22"/>
              </w:rPr>
              <w:t>3</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6CE71AB5">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78F8769B">
            <w:pPr>
              <w:widowControl/>
              <w:jc w:val="left"/>
              <w:rPr>
                <w:rFonts w:cs="宋体"/>
                <w:color w:val="000000"/>
                <w:kern w:val="0"/>
                <w:sz w:val="22"/>
                <w:szCs w:val="22"/>
              </w:rPr>
            </w:pPr>
            <w:r>
              <w:rPr>
                <w:rFonts w:cs="宋体"/>
                <w:color w:val="000000"/>
                <w:kern w:val="0"/>
                <w:sz w:val="22"/>
                <w:szCs w:val="22"/>
              </w:rPr>
              <w:t>通信模组</w:t>
            </w:r>
          </w:p>
        </w:tc>
        <w:tc>
          <w:tcPr>
            <w:tcW w:w="5701" w:type="dxa"/>
            <w:tcBorders>
              <w:top w:val="single" w:color="000000" w:sz="8" w:space="0"/>
              <w:left w:val="single" w:color="000000" w:sz="8" w:space="0"/>
              <w:bottom w:val="single" w:color="000000" w:sz="8" w:space="0"/>
              <w:right w:val="single" w:color="000000" w:sz="8" w:space="0"/>
            </w:tcBorders>
            <w:vAlign w:val="center"/>
          </w:tcPr>
          <w:p w14:paraId="6EEB0507">
            <w:pPr>
              <w:widowControl/>
              <w:jc w:val="left"/>
              <w:rPr>
                <w:rFonts w:cs="宋体"/>
                <w:color w:val="000000"/>
                <w:kern w:val="0"/>
                <w:sz w:val="22"/>
                <w:szCs w:val="22"/>
              </w:rPr>
            </w:pPr>
            <w:r>
              <w:rPr>
                <w:rFonts w:cs="宋体"/>
                <w:color w:val="000000"/>
                <w:kern w:val="0"/>
                <w:sz w:val="22"/>
                <w:szCs w:val="22"/>
              </w:rPr>
              <w:t>支持wifi</w:t>
            </w:r>
            <w:r>
              <w:rPr>
                <w:rFonts w:hint="eastAsia" w:cs="宋体"/>
                <w:color w:val="000000"/>
                <w:kern w:val="0"/>
                <w:sz w:val="22"/>
                <w:szCs w:val="22"/>
              </w:rPr>
              <w:t xml:space="preserve"> 5及以上</w:t>
            </w:r>
            <w:r>
              <w:rPr>
                <w:rFonts w:cs="宋体"/>
                <w:color w:val="000000"/>
                <w:kern w:val="0"/>
                <w:sz w:val="22"/>
                <w:szCs w:val="22"/>
              </w:rPr>
              <w:t>、4G/5G通信，兼容主流运营商</w:t>
            </w:r>
          </w:p>
        </w:tc>
      </w:tr>
      <w:tr w14:paraId="72B5CF27">
        <w:trPr>
          <w:trHeight w:val="58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56BFD71A">
            <w:pPr>
              <w:widowControl/>
              <w:jc w:val="center"/>
              <w:rPr>
                <w:rFonts w:cs="宋体"/>
                <w:color w:val="000000"/>
                <w:kern w:val="0"/>
                <w:sz w:val="22"/>
                <w:szCs w:val="22"/>
              </w:rPr>
            </w:pPr>
            <w:r>
              <w:rPr>
                <w:rFonts w:cs="宋体"/>
                <w:color w:val="000000"/>
                <w:kern w:val="0"/>
                <w:sz w:val="22"/>
                <w:szCs w:val="22"/>
              </w:rPr>
              <w:t>4</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18ABE334">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153804CE">
            <w:pPr>
              <w:widowControl/>
              <w:jc w:val="left"/>
              <w:rPr>
                <w:rFonts w:cs="宋体"/>
                <w:color w:val="000000"/>
                <w:kern w:val="0"/>
                <w:sz w:val="22"/>
                <w:szCs w:val="22"/>
              </w:rPr>
            </w:pPr>
            <w:r>
              <w:rPr>
                <w:rFonts w:cs="宋体"/>
                <w:color w:val="000000"/>
                <w:kern w:val="0"/>
                <w:sz w:val="22"/>
                <w:szCs w:val="22"/>
              </w:rPr>
              <w:t>可见光模块</w:t>
            </w:r>
          </w:p>
        </w:tc>
        <w:tc>
          <w:tcPr>
            <w:tcW w:w="5701" w:type="dxa"/>
            <w:tcBorders>
              <w:top w:val="single" w:color="000000" w:sz="8" w:space="0"/>
              <w:left w:val="single" w:color="000000" w:sz="8" w:space="0"/>
              <w:bottom w:val="single" w:color="000000" w:sz="8" w:space="0"/>
              <w:right w:val="single" w:color="000000" w:sz="8" w:space="0"/>
            </w:tcBorders>
            <w:vAlign w:val="center"/>
          </w:tcPr>
          <w:p w14:paraId="211D0E2E">
            <w:pPr>
              <w:widowControl/>
              <w:jc w:val="left"/>
              <w:rPr>
                <w:rFonts w:cs="宋体"/>
                <w:color w:val="000000"/>
                <w:kern w:val="0"/>
                <w:sz w:val="22"/>
                <w:szCs w:val="22"/>
              </w:rPr>
            </w:pPr>
            <w:r>
              <w:rPr>
                <w:rFonts w:cs="宋体"/>
                <w:color w:val="000000"/>
                <w:kern w:val="0"/>
                <w:sz w:val="22"/>
                <w:szCs w:val="22"/>
              </w:rPr>
              <w:t>分辨率：</w:t>
            </w:r>
            <w:r>
              <w:rPr>
                <w:rFonts w:hint="eastAsia" w:cs="宋体"/>
                <w:color w:val="000000"/>
                <w:kern w:val="0"/>
                <w:sz w:val="22"/>
                <w:szCs w:val="22"/>
              </w:rPr>
              <w:t>4</w:t>
            </w:r>
            <w:r>
              <w:rPr>
                <w:rFonts w:cs="宋体"/>
                <w:color w:val="000000"/>
                <w:kern w:val="0"/>
                <w:sz w:val="22"/>
                <w:szCs w:val="22"/>
              </w:rPr>
              <w:t>00万像素以上，支持多倍变焦</w:t>
            </w:r>
          </w:p>
        </w:tc>
      </w:tr>
      <w:tr w14:paraId="067AD66E">
        <w:trPr>
          <w:trHeight w:val="90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43D90035">
            <w:pPr>
              <w:widowControl/>
              <w:jc w:val="center"/>
              <w:rPr>
                <w:rFonts w:cs="宋体"/>
                <w:color w:val="000000"/>
                <w:kern w:val="0"/>
                <w:sz w:val="22"/>
                <w:szCs w:val="22"/>
              </w:rPr>
            </w:pPr>
            <w:r>
              <w:rPr>
                <w:rFonts w:cs="宋体"/>
                <w:color w:val="000000"/>
                <w:kern w:val="0"/>
                <w:sz w:val="22"/>
                <w:szCs w:val="22"/>
              </w:rPr>
              <w:t>5</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76E9C09A">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008EBB80">
            <w:pPr>
              <w:widowControl/>
              <w:jc w:val="left"/>
              <w:rPr>
                <w:rFonts w:cs="宋体"/>
                <w:color w:val="000000"/>
                <w:kern w:val="0"/>
                <w:sz w:val="22"/>
                <w:szCs w:val="22"/>
              </w:rPr>
            </w:pPr>
            <w:r>
              <w:rPr>
                <w:rFonts w:cs="宋体"/>
                <w:color w:val="000000"/>
                <w:kern w:val="0"/>
                <w:sz w:val="22"/>
                <w:szCs w:val="22"/>
              </w:rPr>
              <w:t>扬声器和麦克风</w:t>
            </w:r>
          </w:p>
        </w:tc>
        <w:tc>
          <w:tcPr>
            <w:tcW w:w="5701" w:type="dxa"/>
            <w:tcBorders>
              <w:top w:val="single" w:color="000000" w:sz="8" w:space="0"/>
              <w:left w:val="single" w:color="000000" w:sz="8" w:space="0"/>
              <w:bottom w:val="single" w:color="000000" w:sz="8" w:space="0"/>
              <w:right w:val="single" w:color="000000" w:sz="8" w:space="0"/>
            </w:tcBorders>
            <w:vAlign w:val="center"/>
          </w:tcPr>
          <w:p w14:paraId="7EBBD22C">
            <w:pPr>
              <w:widowControl/>
              <w:jc w:val="left"/>
              <w:rPr>
                <w:rFonts w:cs="宋体"/>
                <w:color w:val="000000"/>
                <w:kern w:val="0"/>
                <w:sz w:val="22"/>
                <w:szCs w:val="22"/>
              </w:rPr>
            </w:pPr>
            <w:r>
              <w:rPr>
                <w:rFonts w:cs="宋体"/>
                <w:color w:val="000000"/>
                <w:kern w:val="0"/>
                <w:sz w:val="22"/>
                <w:szCs w:val="22"/>
              </w:rPr>
              <w:t>具有高音量扬声器以及降噪收音装置，支持语音播报，包括固定音频播报，预设音频播放。</w:t>
            </w:r>
          </w:p>
        </w:tc>
      </w:tr>
      <w:tr w14:paraId="1DE521F5">
        <w:trPr>
          <w:trHeight w:val="58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3180DCF4">
            <w:pPr>
              <w:widowControl/>
              <w:jc w:val="center"/>
              <w:rPr>
                <w:rFonts w:cs="宋体"/>
                <w:color w:val="000000"/>
                <w:kern w:val="0"/>
                <w:sz w:val="22"/>
                <w:szCs w:val="22"/>
              </w:rPr>
            </w:pPr>
            <w:r>
              <w:rPr>
                <w:rFonts w:cs="宋体"/>
                <w:color w:val="000000"/>
                <w:kern w:val="0"/>
                <w:sz w:val="22"/>
                <w:szCs w:val="22"/>
              </w:rPr>
              <w:t>6</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37A94FD0">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7567A9DD">
            <w:pPr>
              <w:widowControl/>
              <w:jc w:val="left"/>
              <w:rPr>
                <w:rFonts w:cs="宋体"/>
                <w:color w:val="000000"/>
                <w:kern w:val="0"/>
                <w:sz w:val="22"/>
                <w:szCs w:val="22"/>
              </w:rPr>
            </w:pPr>
            <w:r>
              <w:rPr>
                <w:rFonts w:cs="宋体"/>
                <w:color w:val="000000"/>
                <w:kern w:val="0"/>
                <w:sz w:val="22"/>
                <w:szCs w:val="22"/>
              </w:rPr>
              <w:t>云台模块</w:t>
            </w:r>
          </w:p>
        </w:tc>
        <w:tc>
          <w:tcPr>
            <w:tcW w:w="5701" w:type="dxa"/>
            <w:tcBorders>
              <w:top w:val="single" w:color="000000" w:sz="8" w:space="0"/>
              <w:left w:val="single" w:color="000000" w:sz="8" w:space="0"/>
              <w:bottom w:val="single" w:color="000000" w:sz="8" w:space="0"/>
              <w:right w:val="single" w:color="000000" w:sz="8" w:space="0"/>
            </w:tcBorders>
            <w:vAlign w:val="center"/>
          </w:tcPr>
          <w:p w14:paraId="24EC722E">
            <w:pPr>
              <w:widowControl/>
              <w:jc w:val="left"/>
              <w:rPr>
                <w:rFonts w:cs="宋体"/>
                <w:color w:val="000000"/>
                <w:kern w:val="0"/>
                <w:sz w:val="22"/>
                <w:szCs w:val="22"/>
              </w:rPr>
            </w:pPr>
            <w:r>
              <w:rPr>
                <w:rFonts w:cs="宋体"/>
                <w:color w:val="000000"/>
                <w:kern w:val="0"/>
                <w:sz w:val="22"/>
                <w:szCs w:val="22"/>
              </w:rPr>
              <w:t>支持水平、垂直运动</w:t>
            </w:r>
          </w:p>
        </w:tc>
      </w:tr>
      <w:tr w14:paraId="3C3F75AA">
        <w:trPr>
          <w:trHeight w:val="114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7A548646">
            <w:pPr>
              <w:widowControl/>
              <w:jc w:val="center"/>
              <w:rPr>
                <w:rFonts w:cs="宋体"/>
                <w:color w:val="000000"/>
                <w:kern w:val="0"/>
                <w:sz w:val="22"/>
                <w:szCs w:val="22"/>
              </w:rPr>
            </w:pPr>
            <w:r>
              <w:rPr>
                <w:rFonts w:cs="宋体"/>
                <w:color w:val="000000"/>
                <w:kern w:val="0"/>
                <w:sz w:val="22"/>
                <w:szCs w:val="22"/>
              </w:rPr>
              <w:t>7</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17B01635">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59509C96">
            <w:pPr>
              <w:widowControl/>
              <w:jc w:val="left"/>
              <w:rPr>
                <w:rFonts w:cs="宋体"/>
                <w:color w:val="000000"/>
                <w:kern w:val="0"/>
                <w:sz w:val="22"/>
                <w:szCs w:val="22"/>
              </w:rPr>
            </w:pPr>
            <w:r>
              <w:rPr>
                <w:rFonts w:cs="宋体"/>
                <w:color w:val="000000"/>
                <w:kern w:val="0"/>
                <w:sz w:val="22"/>
                <w:szCs w:val="22"/>
              </w:rPr>
              <w:t>红外模块</w:t>
            </w:r>
          </w:p>
        </w:tc>
        <w:tc>
          <w:tcPr>
            <w:tcW w:w="5701" w:type="dxa"/>
            <w:tcBorders>
              <w:top w:val="single" w:color="000000" w:sz="8" w:space="0"/>
              <w:left w:val="single" w:color="000000" w:sz="8" w:space="0"/>
              <w:bottom w:val="single" w:color="000000" w:sz="8" w:space="0"/>
              <w:right w:val="single" w:color="000000" w:sz="8" w:space="0"/>
            </w:tcBorders>
            <w:vAlign w:val="center"/>
          </w:tcPr>
          <w:p w14:paraId="0493FC37">
            <w:pPr>
              <w:widowControl/>
              <w:jc w:val="left"/>
              <w:rPr>
                <w:rFonts w:cs="宋体"/>
                <w:color w:val="000000"/>
                <w:kern w:val="0"/>
                <w:sz w:val="22"/>
                <w:szCs w:val="22"/>
              </w:rPr>
            </w:pPr>
            <w:r>
              <w:rPr>
                <w:rFonts w:hint="eastAsia" w:cs="宋体"/>
                <w:color w:val="000000"/>
                <w:kern w:val="0"/>
                <w:sz w:val="22"/>
                <w:szCs w:val="22"/>
              </w:rPr>
              <w:t>（1）测温范围：0℃~100℃</w:t>
            </w:r>
            <w:r>
              <w:rPr>
                <w:rFonts w:hint="eastAsia" w:cs="宋体"/>
                <w:color w:val="000000"/>
                <w:kern w:val="0"/>
                <w:sz w:val="22"/>
                <w:szCs w:val="22"/>
              </w:rPr>
              <w:br w:type="textWrapping"/>
            </w:r>
            <w:r>
              <w:rPr>
                <w:rFonts w:hint="eastAsia" w:cs="宋体"/>
                <w:color w:val="000000"/>
                <w:kern w:val="0"/>
                <w:sz w:val="22"/>
                <w:szCs w:val="22"/>
              </w:rPr>
              <w:t>（2）测温精度:± 2 ℃</w:t>
            </w:r>
            <w:r>
              <w:rPr>
                <w:rFonts w:hint="eastAsia" w:cs="宋体"/>
                <w:color w:val="000000"/>
                <w:kern w:val="0"/>
                <w:sz w:val="22"/>
                <w:szCs w:val="22"/>
              </w:rPr>
              <w:br w:type="textWrapping"/>
            </w:r>
            <w:r>
              <w:rPr>
                <w:rFonts w:hint="eastAsia" w:cs="宋体"/>
                <w:color w:val="000000"/>
                <w:kern w:val="0"/>
                <w:sz w:val="22"/>
                <w:szCs w:val="22"/>
              </w:rPr>
              <w:t>（3）最远测温距离：针对 0.1m×0.1m目标，需2米以上</w:t>
            </w:r>
          </w:p>
        </w:tc>
      </w:tr>
      <w:tr w14:paraId="553FD80D">
        <w:trPr>
          <w:trHeight w:val="580" w:hRule="atLeast"/>
        </w:trPr>
        <w:tc>
          <w:tcPr>
            <w:tcW w:w="436" w:type="dxa"/>
            <w:tcBorders>
              <w:top w:val="single" w:color="000000" w:sz="8" w:space="0"/>
              <w:left w:val="single" w:color="auto" w:sz="4" w:space="0"/>
              <w:bottom w:val="single" w:color="auto" w:sz="4" w:space="0"/>
              <w:right w:val="single" w:color="000000" w:sz="8" w:space="0"/>
            </w:tcBorders>
            <w:noWrap/>
            <w:vAlign w:val="center"/>
          </w:tcPr>
          <w:p w14:paraId="6991D0A0">
            <w:pPr>
              <w:widowControl/>
              <w:jc w:val="center"/>
              <w:rPr>
                <w:rFonts w:cs="宋体"/>
                <w:color w:val="000000"/>
                <w:kern w:val="0"/>
                <w:sz w:val="22"/>
                <w:szCs w:val="22"/>
              </w:rPr>
            </w:pPr>
            <w:r>
              <w:rPr>
                <w:rFonts w:cs="宋体"/>
                <w:color w:val="000000"/>
                <w:kern w:val="0"/>
                <w:sz w:val="22"/>
                <w:szCs w:val="22"/>
              </w:rPr>
              <w:t>8</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19FD6A1C">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29DC81CD">
            <w:pPr>
              <w:widowControl/>
              <w:jc w:val="left"/>
              <w:rPr>
                <w:rFonts w:cs="宋体"/>
                <w:color w:val="000000"/>
                <w:kern w:val="0"/>
                <w:sz w:val="22"/>
                <w:szCs w:val="22"/>
              </w:rPr>
            </w:pPr>
            <w:r>
              <w:rPr>
                <w:rFonts w:cs="宋体"/>
                <w:color w:val="000000"/>
                <w:kern w:val="0"/>
                <w:sz w:val="22"/>
                <w:szCs w:val="22"/>
              </w:rPr>
              <w:t>激光雷达</w:t>
            </w:r>
          </w:p>
        </w:tc>
        <w:tc>
          <w:tcPr>
            <w:tcW w:w="5701" w:type="dxa"/>
            <w:tcBorders>
              <w:top w:val="single" w:color="000000" w:sz="8" w:space="0"/>
              <w:left w:val="single" w:color="000000" w:sz="8" w:space="0"/>
              <w:bottom w:val="single" w:color="000000" w:sz="8" w:space="0"/>
              <w:right w:val="single" w:color="000000" w:sz="8" w:space="0"/>
            </w:tcBorders>
            <w:vAlign w:val="center"/>
          </w:tcPr>
          <w:p w14:paraId="0B6C4FD8">
            <w:pPr>
              <w:widowControl/>
              <w:jc w:val="left"/>
              <w:rPr>
                <w:rFonts w:cs="宋体"/>
                <w:color w:val="000000"/>
                <w:kern w:val="0"/>
                <w:sz w:val="22"/>
                <w:szCs w:val="22"/>
              </w:rPr>
            </w:pPr>
            <w:r>
              <w:rPr>
                <w:rFonts w:cs="宋体"/>
                <w:color w:val="000000"/>
                <w:kern w:val="0"/>
                <w:sz w:val="22"/>
                <w:szCs w:val="22"/>
              </w:rPr>
              <w:t>与mid360同级别或以上配置的激光雷达</w:t>
            </w:r>
          </w:p>
        </w:tc>
      </w:tr>
      <w:tr w14:paraId="0A5FA631">
        <w:trPr>
          <w:trHeight w:val="780" w:hRule="atLeast"/>
        </w:trPr>
        <w:tc>
          <w:tcPr>
            <w:tcW w:w="436" w:type="dxa"/>
            <w:tcBorders>
              <w:top w:val="nil"/>
              <w:left w:val="single" w:color="auto" w:sz="4" w:space="0"/>
              <w:bottom w:val="single" w:color="auto" w:sz="4" w:space="0"/>
              <w:right w:val="single" w:color="000000" w:sz="8" w:space="0"/>
            </w:tcBorders>
            <w:noWrap/>
            <w:vAlign w:val="center"/>
          </w:tcPr>
          <w:p w14:paraId="0D50489C">
            <w:pPr>
              <w:widowControl/>
              <w:jc w:val="center"/>
              <w:rPr>
                <w:rFonts w:cs="宋体"/>
                <w:color w:val="000000"/>
                <w:kern w:val="0"/>
                <w:sz w:val="22"/>
                <w:szCs w:val="22"/>
              </w:rPr>
            </w:pPr>
            <w:r>
              <w:rPr>
                <w:rFonts w:cs="宋体"/>
                <w:color w:val="000000"/>
                <w:kern w:val="0"/>
                <w:sz w:val="22"/>
                <w:szCs w:val="22"/>
              </w:rPr>
              <w:t>9</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5BFE5300">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46C30808">
            <w:pPr>
              <w:widowControl/>
              <w:jc w:val="left"/>
              <w:rPr>
                <w:rFonts w:cs="宋体"/>
                <w:color w:val="000000"/>
                <w:kern w:val="0"/>
                <w:sz w:val="22"/>
                <w:szCs w:val="22"/>
              </w:rPr>
            </w:pPr>
            <w:r>
              <w:rPr>
                <w:rFonts w:cs="宋体"/>
                <w:color w:val="000000"/>
                <w:kern w:val="0"/>
                <w:sz w:val="22"/>
                <w:szCs w:val="22"/>
              </w:rPr>
              <w:t>交换机模块</w:t>
            </w:r>
          </w:p>
        </w:tc>
        <w:tc>
          <w:tcPr>
            <w:tcW w:w="5701" w:type="dxa"/>
            <w:tcBorders>
              <w:top w:val="single" w:color="000000" w:sz="8" w:space="0"/>
              <w:left w:val="single" w:color="000000" w:sz="8" w:space="0"/>
              <w:bottom w:val="single" w:color="000000" w:sz="8" w:space="0"/>
              <w:right w:val="single" w:color="000000" w:sz="8" w:space="0"/>
            </w:tcBorders>
            <w:vAlign w:val="center"/>
          </w:tcPr>
          <w:p w14:paraId="4317FD5D">
            <w:pPr>
              <w:widowControl/>
              <w:jc w:val="left"/>
              <w:rPr>
                <w:rFonts w:cs="宋体"/>
                <w:color w:val="000000"/>
                <w:kern w:val="0"/>
                <w:sz w:val="22"/>
                <w:szCs w:val="22"/>
              </w:rPr>
            </w:pPr>
            <w:r>
              <w:rPr>
                <w:rFonts w:cs="宋体"/>
                <w:color w:val="000000"/>
                <w:kern w:val="0"/>
                <w:sz w:val="22"/>
                <w:szCs w:val="22"/>
              </w:rPr>
              <w:t>具备对外的千兆以太网端口，用于开发访问算力板及内部环境调试</w:t>
            </w:r>
          </w:p>
        </w:tc>
      </w:tr>
      <w:tr w14:paraId="559270A9">
        <w:trPr>
          <w:trHeight w:val="580" w:hRule="atLeast"/>
        </w:trPr>
        <w:tc>
          <w:tcPr>
            <w:tcW w:w="436" w:type="dxa"/>
            <w:tcBorders>
              <w:top w:val="nil"/>
              <w:left w:val="single" w:color="auto" w:sz="4" w:space="0"/>
              <w:bottom w:val="single" w:color="000000" w:sz="8" w:space="0"/>
              <w:right w:val="single" w:color="000000" w:sz="8" w:space="0"/>
            </w:tcBorders>
            <w:noWrap/>
            <w:vAlign w:val="center"/>
          </w:tcPr>
          <w:p w14:paraId="12774B45">
            <w:pPr>
              <w:widowControl/>
              <w:jc w:val="center"/>
              <w:rPr>
                <w:rFonts w:cs="宋体"/>
                <w:color w:val="000000"/>
                <w:kern w:val="0"/>
                <w:sz w:val="22"/>
                <w:szCs w:val="22"/>
              </w:rPr>
            </w:pPr>
            <w:r>
              <w:rPr>
                <w:rFonts w:cs="宋体"/>
                <w:color w:val="000000"/>
                <w:kern w:val="0"/>
                <w:sz w:val="22"/>
                <w:szCs w:val="22"/>
              </w:rPr>
              <w:t>10</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058F42A7">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63FCB710">
            <w:pPr>
              <w:widowControl/>
              <w:jc w:val="left"/>
              <w:rPr>
                <w:rFonts w:cs="宋体"/>
                <w:color w:val="000000"/>
                <w:kern w:val="0"/>
                <w:sz w:val="22"/>
                <w:szCs w:val="22"/>
              </w:rPr>
            </w:pPr>
            <w:r>
              <w:rPr>
                <w:rFonts w:cs="宋体"/>
                <w:color w:val="000000"/>
                <w:kern w:val="0"/>
                <w:sz w:val="22"/>
                <w:szCs w:val="22"/>
              </w:rPr>
              <w:t>灯光模块</w:t>
            </w:r>
          </w:p>
        </w:tc>
        <w:tc>
          <w:tcPr>
            <w:tcW w:w="5701" w:type="dxa"/>
            <w:tcBorders>
              <w:top w:val="single" w:color="000000" w:sz="8" w:space="0"/>
              <w:left w:val="single" w:color="000000" w:sz="8" w:space="0"/>
              <w:bottom w:val="single" w:color="000000" w:sz="8" w:space="0"/>
              <w:right w:val="single" w:color="000000" w:sz="8" w:space="0"/>
            </w:tcBorders>
            <w:vAlign w:val="center"/>
          </w:tcPr>
          <w:p w14:paraId="7107DC11">
            <w:pPr>
              <w:widowControl/>
              <w:jc w:val="left"/>
              <w:rPr>
                <w:rFonts w:cs="宋体"/>
                <w:color w:val="000000"/>
                <w:kern w:val="0"/>
                <w:sz w:val="22"/>
                <w:szCs w:val="22"/>
              </w:rPr>
            </w:pPr>
            <w:r>
              <w:rPr>
                <w:rFonts w:cs="宋体"/>
                <w:color w:val="000000"/>
                <w:kern w:val="0"/>
                <w:sz w:val="22"/>
                <w:szCs w:val="22"/>
              </w:rPr>
              <w:t>具备警闪灯、探照灯，并支持警闪灯、探照灯控制</w:t>
            </w:r>
          </w:p>
        </w:tc>
      </w:tr>
      <w:tr w14:paraId="54B56B18">
        <w:trPr>
          <w:trHeight w:val="2600" w:hRule="atLeast"/>
        </w:trPr>
        <w:tc>
          <w:tcPr>
            <w:tcW w:w="436" w:type="dxa"/>
            <w:tcBorders>
              <w:top w:val="single" w:color="000000" w:sz="8" w:space="0"/>
              <w:left w:val="single" w:color="000000" w:sz="8" w:space="0"/>
              <w:bottom w:val="single" w:color="000000" w:sz="8" w:space="0"/>
              <w:right w:val="single" w:color="000000" w:sz="8" w:space="0"/>
            </w:tcBorders>
            <w:noWrap/>
            <w:vAlign w:val="center"/>
          </w:tcPr>
          <w:p w14:paraId="6DF8E03A">
            <w:pPr>
              <w:widowControl/>
              <w:jc w:val="center"/>
              <w:rPr>
                <w:rFonts w:cs="宋体"/>
                <w:color w:val="000000"/>
                <w:kern w:val="0"/>
                <w:sz w:val="22"/>
                <w:szCs w:val="22"/>
              </w:rPr>
            </w:pPr>
            <w:r>
              <w:rPr>
                <w:rFonts w:cs="宋体"/>
                <w:color w:val="000000"/>
                <w:kern w:val="0"/>
                <w:sz w:val="22"/>
                <w:szCs w:val="22"/>
              </w:rPr>
              <w:t>11</w:t>
            </w:r>
          </w:p>
        </w:tc>
        <w:tc>
          <w:tcPr>
            <w:tcW w:w="666" w:type="dxa"/>
            <w:vMerge w:val="continue"/>
            <w:tcBorders>
              <w:top w:val="single" w:color="000000" w:sz="8" w:space="0"/>
              <w:left w:val="single" w:color="000000" w:sz="8" w:space="0"/>
              <w:bottom w:val="single" w:color="000000" w:sz="8" w:space="0"/>
              <w:right w:val="single" w:color="000000" w:sz="8" w:space="0"/>
            </w:tcBorders>
            <w:vAlign w:val="center"/>
          </w:tcPr>
          <w:p w14:paraId="7FBF134B">
            <w:pPr>
              <w:widowControl/>
              <w:jc w:val="left"/>
              <w:rPr>
                <w:rFonts w:cs="宋体"/>
                <w:color w:val="000000"/>
                <w:kern w:val="0"/>
                <w:sz w:val="22"/>
                <w:szCs w:val="22"/>
              </w:rPr>
            </w:pPr>
          </w:p>
        </w:tc>
        <w:tc>
          <w:tcPr>
            <w:tcW w:w="1606" w:type="dxa"/>
            <w:tcBorders>
              <w:top w:val="single" w:color="000000" w:sz="8" w:space="0"/>
              <w:left w:val="single" w:color="000000" w:sz="8" w:space="0"/>
              <w:bottom w:val="single" w:color="000000" w:sz="8" w:space="0"/>
              <w:right w:val="single" w:color="000000" w:sz="8" w:space="0"/>
            </w:tcBorders>
            <w:noWrap/>
            <w:vAlign w:val="center"/>
          </w:tcPr>
          <w:p w14:paraId="605418C2">
            <w:pPr>
              <w:widowControl/>
              <w:jc w:val="left"/>
              <w:rPr>
                <w:rFonts w:cs="宋体"/>
                <w:color w:val="000000"/>
                <w:kern w:val="0"/>
                <w:sz w:val="22"/>
                <w:szCs w:val="22"/>
              </w:rPr>
            </w:pPr>
            <w:r>
              <w:rPr>
                <w:rFonts w:cs="宋体"/>
                <w:color w:val="000000"/>
                <w:kern w:val="0"/>
                <w:sz w:val="22"/>
                <w:szCs w:val="22"/>
              </w:rPr>
              <w:t>上装固定套件</w:t>
            </w:r>
          </w:p>
        </w:tc>
        <w:tc>
          <w:tcPr>
            <w:tcW w:w="5701" w:type="dxa"/>
            <w:tcBorders>
              <w:top w:val="single" w:color="000000" w:sz="8" w:space="0"/>
              <w:left w:val="single" w:color="000000" w:sz="8" w:space="0"/>
              <w:bottom w:val="single" w:color="000000" w:sz="8" w:space="0"/>
              <w:right w:val="single" w:color="000000" w:sz="8" w:space="0"/>
            </w:tcBorders>
            <w:vAlign w:val="center"/>
          </w:tcPr>
          <w:p w14:paraId="1546B5B4">
            <w:pPr>
              <w:widowControl/>
              <w:jc w:val="left"/>
              <w:rPr>
                <w:rFonts w:cs="宋体"/>
                <w:color w:val="000000"/>
                <w:kern w:val="0"/>
                <w:sz w:val="22"/>
                <w:szCs w:val="22"/>
              </w:rPr>
            </w:pPr>
            <w:r>
              <w:rPr>
                <w:rFonts w:cs="宋体"/>
                <w:color w:val="000000"/>
                <w:kern w:val="0"/>
                <w:sz w:val="22"/>
                <w:szCs w:val="22"/>
              </w:rPr>
              <w:t>具备IP</w:t>
            </w:r>
            <w:r>
              <w:rPr>
                <w:rFonts w:hint="eastAsia" w:cs="宋体"/>
                <w:color w:val="000000"/>
                <w:kern w:val="0"/>
                <w:sz w:val="22"/>
                <w:szCs w:val="22"/>
              </w:rPr>
              <w:t>54</w:t>
            </w:r>
            <w:r>
              <w:rPr>
                <w:rFonts w:cs="宋体"/>
                <w:color w:val="000000"/>
                <w:kern w:val="0"/>
                <w:sz w:val="22"/>
                <w:szCs w:val="22"/>
              </w:rPr>
              <w:t>级防尘防水</w:t>
            </w:r>
            <w:r>
              <w:rPr>
                <w:rFonts w:cs="宋体"/>
                <w:color w:val="000000"/>
                <w:kern w:val="0"/>
                <w:sz w:val="22"/>
                <w:szCs w:val="22"/>
              </w:rPr>
              <w:br w:type="textWrapping"/>
            </w:r>
            <w:r>
              <w:rPr>
                <w:rFonts w:cs="宋体"/>
                <w:color w:val="000000"/>
                <w:kern w:val="0"/>
                <w:sz w:val="22"/>
                <w:szCs w:val="22"/>
              </w:rPr>
              <w:t>（1）固定支架(无损安装，利用原厂扩展接口)</w:t>
            </w:r>
            <w:r>
              <w:rPr>
                <w:rFonts w:cs="宋体"/>
                <w:color w:val="000000"/>
                <w:kern w:val="0"/>
                <w:sz w:val="22"/>
                <w:szCs w:val="22"/>
              </w:rPr>
              <w:br w:type="textWrapping"/>
            </w:r>
            <w:r>
              <w:rPr>
                <w:rFonts w:cs="宋体"/>
                <w:color w:val="000000"/>
                <w:kern w:val="0"/>
                <w:sz w:val="22"/>
                <w:szCs w:val="22"/>
              </w:rPr>
              <w:t>（2）材质：铝合金+高强度工程塑料</w:t>
            </w:r>
            <w:r>
              <w:rPr>
                <w:rFonts w:cs="宋体"/>
                <w:color w:val="000000"/>
                <w:kern w:val="0"/>
                <w:sz w:val="22"/>
                <w:szCs w:val="22"/>
              </w:rPr>
              <w:br w:type="textWrapping"/>
            </w:r>
            <w:r>
              <w:rPr>
                <w:rFonts w:cs="宋体"/>
                <w:color w:val="000000"/>
                <w:kern w:val="0"/>
                <w:sz w:val="22"/>
                <w:szCs w:val="22"/>
              </w:rPr>
              <w:t>（3）固定方式：快拆锁扣+防松螺丝</w:t>
            </w:r>
            <w:r>
              <w:rPr>
                <w:rFonts w:cs="宋体"/>
                <w:color w:val="000000"/>
                <w:kern w:val="0"/>
                <w:sz w:val="22"/>
                <w:szCs w:val="22"/>
              </w:rPr>
              <w:br w:type="textWrapping"/>
            </w:r>
            <w:r>
              <w:rPr>
                <w:rFonts w:cs="宋体"/>
                <w:color w:val="000000"/>
                <w:kern w:val="0"/>
                <w:sz w:val="22"/>
                <w:szCs w:val="22"/>
              </w:rPr>
              <w:t>（4）防尘等级：IP54以上(防尘、防雨淋)</w:t>
            </w:r>
            <w:r>
              <w:rPr>
                <w:rFonts w:cs="宋体"/>
                <w:color w:val="000000"/>
                <w:kern w:val="0"/>
                <w:sz w:val="22"/>
                <w:szCs w:val="22"/>
              </w:rPr>
              <w:br w:type="textWrapping"/>
            </w:r>
            <w:r>
              <w:rPr>
                <w:rFonts w:cs="宋体"/>
                <w:color w:val="000000"/>
                <w:kern w:val="0"/>
                <w:sz w:val="22"/>
                <w:szCs w:val="22"/>
              </w:rPr>
              <w:t>（5）线缆管理：内置线槽，无外露飞线</w:t>
            </w:r>
            <w:r>
              <w:rPr>
                <w:rFonts w:cs="宋体"/>
                <w:color w:val="000000"/>
                <w:kern w:val="0"/>
                <w:sz w:val="22"/>
                <w:szCs w:val="22"/>
              </w:rPr>
              <w:br w:type="textWrapping"/>
            </w:r>
            <w:r>
              <w:rPr>
                <w:rFonts w:cs="宋体"/>
                <w:color w:val="000000"/>
                <w:kern w:val="0"/>
                <w:sz w:val="22"/>
                <w:szCs w:val="22"/>
              </w:rPr>
              <w:t>（6）安装方式：无损安装，利用原厂扩展接口</w:t>
            </w:r>
          </w:p>
        </w:tc>
      </w:tr>
    </w:tbl>
    <w:p w14:paraId="4EDA541B">
      <w:pPr>
        <w:ind w:right="215" w:firstLine="480" w:firstLineChars="200"/>
        <w:rPr>
          <w:rFonts w:cs="微软雅黑"/>
          <w:szCs w:val="24"/>
        </w:rPr>
      </w:pPr>
      <w:r>
        <w:rPr>
          <w:rFonts w:hint="eastAsia" w:cs="微软雅黑"/>
          <w:szCs w:val="24"/>
        </w:rPr>
        <w:t>核心功能要求如下：</w:t>
      </w:r>
    </w:p>
    <w:p w14:paraId="28D9683A">
      <w:pPr>
        <w:ind w:firstLine="480" w:firstLineChars="200"/>
      </w:pPr>
      <w:r>
        <w:t>1.</w:t>
      </w:r>
      <w:r>
        <w:rPr>
          <w:rFonts w:hint="eastAsia"/>
        </w:rPr>
        <w:t>内置计算板卡</w:t>
      </w:r>
      <w:r>
        <w:t>：CPU≥8核，内存≥16G，算力≥6TOPS；为保证各类外设稳定接入控制，避免外部通过交换机、USB-HUB等多层拓展带来的不稳定性，须具备丰富接口</w:t>
      </w:r>
      <w:r>
        <w:rPr>
          <w:rFonts w:hint="eastAsia"/>
        </w:rPr>
        <w:t>，</w:t>
      </w:r>
      <w:r>
        <w:t>具体要求如下：以太网接口≥4个、UART≥4个、RS485≥1个、CAN≥2个、USB3.0≥4个、USB2.0≥2个；</w:t>
      </w:r>
    </w:p>
    <w:p w14:paraId="3780396F">
      <w:pPr>
        <w:ind w:right="215" w:firstLine="480" w:firstLineChars="200"/>
        <w:jc w:val="left"/>
        <w:rPr>
          <w:rFonts w:cs="微软雅黑"/>
          <w:szCs w:val="24"/>
        </w:rPr>
      </w:pPr>
      <w:r>
        <w:rPr>
          <w:rFonts w:hint="eastAsia" w:cs="微软雅黑"/>
          <w:szCs w:val="24"/>
        </w:rPr>
        <w:t>2.AI计算板卡：</w:t>
      </w:r>
      <w:r>
        <w:rPr>
          <w:rFonts w:cs="微软雅黑"/>
          <w:szCs w:val="24"/>
        </w:rPr>
        <w:t>具备275Tops</w:t>
      </w:r>
      <w:r>
        <w:rPr>
          <w:rFonts w:hint="eastAsia" w:cs="微软雅黑"/>
          <w:szCs w:val="24"/>
        </w:rPr>
        <w:t>或</w:t>
      </w:r>
      <w:r>
        <w:rPr>
          <w:rFonts w:cs="微软雅黑"/>
          <w:szCs w:val="24"/>
        </w:rPr>
        <w:t>以上算力，64GB以上内存，</w:t>
      </w:r>
      <w:r>
        <w:rPr>
          <w:rFonts w:hint="eastAsia" w:cs="微软雅黑"/>
          <w:szCs w:val="24"/>
        </w:rPr>
        <w:t>至少512GB存储，</w:t>
      </w:r>
      <w:r>
        <w:rPr>
          <w:rFonts w:cs="微软雅黑"/>
          <w:szCs w:val="24"/>
        </w:rPr>
        <w:t>可提供外部访问</w:t>
      </w:r>
      <w:r>
        <w:rPr>
          <w:rFonts w:hint="eastAsia" w:cs="微软雅黑"/>
          <w:szCs w:val="24"/>
        </w:rPr>
        <w:t>；</w:t>
      </w:r>
    </w:p>
    <w:p w14:paraId="4D283249">
      <w:pPr>
        <w:ind w:right="215" w:firstLine="480" w:firstLineChars="200"/>
        <w:rPr>
          <w:rFonts w:cs="微软雅黑"/>
          <w:szCs w:val="24"/>
        </w:rPr>
      </w:pPr>
      <w:r>
        <w:rPr>
          <w:rFonts w:hint="eastAsia" w:cs="微软雅黑"/>
          <w:szCs w:val="24"/>
        </w:rPr>
        <w:t>3.通讯模组：</w:t>
      </w:r>
      <w:r>
        <w:rPr>
          <w:rFonts w:cs="微软雅黑"/>
          <w:szCs w:val="24"/>
        </w:rPr>
        <w:t>支持wifi</w:t>
      </w:r>
      <w:r>
        <w:rPr>
          <w:rFonts w:hint="eastAsia" w:cs="微软雅黑"/>
          <w:szCs w:val="24"/>
        </w:rPr>
        <w:t xml:space="preserve"> 5及以上</w:t>
      </w:r>
      <w:r>
        <w:rPr>
          <w:rFonts w:cs="微软雅黑"/>
          <w:szCs w:val="24"/>
        </w:rPr>
        <w:t>、4G/5G通信</w:t>
      </w:r>
      <w:r>
        <w:rPr>
          <w:rFonts w:hint="eastAsia" w:cs="微软雅黑"/>
          <w:szCs w:val="24"/>
        </w:rPr>
        <w:t>，兼容主流运营商；</w:t>
      </w:r>
    </w:p>
    <w:p w14:paraId="1A1E07FE">
      <w:pPr>
        <w:ind w:right="215" w:firstLine="480" w:firstLineChars="200"/>
        <w:rPr>
          <w:rFonts w:cs="微软雅黑"/>
          <w:szCs w:val="24"/>
        </w:rPr>
      </w:pPr>
      <w:r>
        <w:rPr>
          <w:rFonts w:hint="eastAsia" w:cs="微软雅黑"/>
          <w:szCs w:val="24"/>
        </w:rPr>
        <w:t>4.</w:t>
      </w:r>
      <w:r>
        <w:rPr>
          <w:rFonts w:hint="eastAsia"/>
        </w:rPr>
        <w:t xml:space="preserve"> </w:t>
      </w:r>
      <w:r>
        <w:rPr>
          <w:rFonts w:cs="微软雅黑"/>
          <w:szCs w:val="24"/>
        </w:rPr>
        <w:t>双光云台：配置不低于以下标准：</w:t>
      </w:r>
    </w:p>
    <w:p w14:paraId="0D255D37">
      <w:pPr>
        <w:ind w:right="215" w:firstLine="480" w:firstLineChars="200"/>
        <w:rPr>
          <w:rFonts w:cs="微软雅黑"/>
          <w:szCs w:val="24"/>
        </w:rPr>
      </w:pPr>
      <w:r>
        <w:rPr>
          <w:rFonts w:hint="eastAsia" w:cs="微软雅黑"/>
          <w:szCs w:val="24"/>
        </w:rPr>
        <w:t>（1）</w:t>
      </w:r>
      <w:r>
        <w:rPr>
          <w:rFonts w:cs="微软雅黑"/>
          <w:szCs w:val="24"/>
        </w:rPr>
        <w:t>云台：水平可360度旋转，俯仰可90度旋转；</w:t>
      </w:r>
    </w:p>
    <w:p w14:paraId="6D75B476">
      <w:pPr>
        <w:ind w:right="215" w:firstLine="480" w:firstLineChars="200"/>
        <w:rPr>
          <w:rFonts w:cs="微软雅黑"/>
          <w:szCs w:val="24"/>
        </w:rPr>
      </w:pPr>
      <w:r>
        <w:rPr>
          <w:rFonts w:hint="eastAsia" w:cs="微软雅黑"/>
          <w:szCs w:val="24"/>
        </w:rPr>
        <w:t>（2）</w:t>
      </w:r>
      <w:r>
        <w:rPr>
          <w:rFonts w:cs="微软雅黑"/>
          <w:szCs w:val="24"/>
        </w:rPr>
        <w:t>可见光：变倍≥25倍，分辨率≥</w:t>
      </w:r>
      <w:r>
        <w:rPr>
          <w:rFonts w:hint="eastAsia" w:cs="微软雅黑"/>
          <w:szCs w:val="24"/>
        </w:rPr>
        <w:t>1080P</w:t>
      </w:r>
      <w:r>
        <w:rPr>
          <w:rFonts w:cs="微软雅黑"/>
          <w:szCs w:val="24"/>
        </w:rPr>
        <w:t>；</w:t>
      </w:r>
    </w:p>
    <w:p w14:paraId="5798F685">
      <w:pPr>
        <w:ind w:right="215" w:firstLine="480" w:firstLineChars="200"/>
        <w:rPr>
          <w:rFonts w:cs="微软雅黑"/>
          <w:szCs w:val="24"/>
        </w:rPr>
      </w:pPr>
      <w:r>
        <w:rPr>
          <w:rFonts w:hint="eastAsia" w:cs="微软雅黑"/>
          <w:szCs w:val="24"/>
        </w:rPr>
        <w:t>（3）</w:t>
      </w:r>
      <w:r>
        <w:rPr>
          <w:rFonts w:cs="微软雅黑"/>
          <w:szCs w:val="24"/>
        </w:rPr>
        <w:t>热成像：分辨率≥</w:t>
      </w:r>
      <w:r>
        <w:rPr>
          <w:rFonts w:hint="eastAsia" w:cs="微软雅黑"/>
          <w:szCs w:val="24"/>
        </w:rPr>
        <w:t>30万像素</w:t>
      </w:r>
      <w:r>
        <w:rPr>
          <w:rFonts w:cs="微软雅黑"/>
          <w:szCs w:val="24"/>
        </w:rPr>
        <w:t>，测温精度±2℃。</w:t>
      </w:r>
    </w:p>
    <w:p w14:paraId="22363CA3">
      <w:pPr>
        <w:ind w:right="215" w:firstLine="480" w:firstLineChars="200"/>
        <w:rPr>
          <w:rFonts w:cs="微软雅黑"/>
          <w:szCs w:val="24"/>
        </w:rPr>
      </w:pPr>
      <w:r>
        <w:rPr>
          <w:rFonts w:hint="eastAsia" w:cs="微软雅黑"/>
          <w:szCs w:val="24"/>
        </w:rPr>
        <w:t>5.</w:t>
      </w:r>
      <w:r>
        <w:rPr>
          <w:rFonts w:hint="eastAsia"/>
        </w:rPr>
        <w:t xml:space="preserve"> </w:t>
      </w:r>
      <w:r>
        <w:rPr>
          <w:rFonts w:cs="微软雅黑"/>
          <w:szCs w:val="24"/>
        </w:rPr>
        <w:t>语音模块：配备</w:t>
      </w:r>
      <w:r>
        <w:rPr>
          <w:rFonts w:hint="eastAsia" w:cs="微软雅黑"/>
          <w:szCs w:val="24"/>
        </w:rPr>
        <w:t>麦克风与扬声器（喇叭）</w:t>
      </w:r>
      <w:r>
        <w:rPr>
          <w:rFonts w:cs="微软雅黑"/>
          <w:szCs w:val="24"/>
        </w:rPr>
        <w:t>；具备双向语音对讲功能，支持音频循环播放、到点播放、固定音频播报。</w:t>
      </w:r>
    </w:p>
    <w:p w14:paraId="15C0F769">
      <w:pPr>
        <w:ind w:right="215" w:firstLine="480" w:firstLineChars="200"/>
        <w:rPr>
          <w:rFonts w:cs="微软雅黑"/>
          <w:szCs w:val="24"/>
        </w:rPr>
      </w:pPr>
      <w:r>
        <w:rPr>
          <w:rFonts w:hint="eastAsia" w:cs="微软雅黑"/>
          <w:szCs w:val="24"/>
        </w:rPr>
        <w:t>6. 支持</w:t>
      </w:r>
      <w:r>
        <w:rPr>
          <w:rFonts w:cs="微软雅黑"/>
          <w:szCs w:val="24"/>
        </w:rPr>
        <w:t>高精度GPS</w:t>
      </w:r>
      <w:r>
        <w:rPr>
          <w:rFonts w:hint="eastAsia" w:cs="微软雅黑"/>
          <w:szCs w:val="24"/>
        </w:rPr>
        <w:t>，3D激光，IMU融合定位，重复定位精度优于±10cm。</w:t>
      </w:r>
    </w:p>
    <w:p w14:paraId="26E0217B">
      <w:pPr>
        <w:ind w:right="215" w:firstLine="480" w:firstLineChars="200"/>
        <w:rPr>
          <w:rFonts w:cs="微软雅黑"/>
          <w:szCs w:val="24"/>
        </w:rPr>
      </w:pPr>
      <w:r>
        <w:rPr>
          <w:rFonts w:hint="eastAsia" w:cs="微软雅黑"/>
          <w:szCs w:val="24"/>
        </w:rPr>
        <w:t>★应答方承诺机器人上装仪表模组核心功能包含RTK模块，支持并提供至少一年的RTK服务。</w:t>
      </w:r>
    </w:p>
    <w:p w14:paraId="7F713735">
      <w:pPr>
        <w:ind w:right="215" w:firstLine="480" w:firstLineChars="200"/>
        <w:rPr>
          <w:rFonts w:cs="微软雅黑"/>
          <w:szCs w:val="24"/>
        </w:rPr>
      </w:pPr>
      <w:r>
        <w:rPr>
          <w:rFonts w:hint="eastAsia" w:cs="微软雅黑"/>
          <w:szCs w:val="24"/>
        </w:rPr>
        <w:t xml:space="preserve">8. </w:t>
      </w:r>
      <w:r>
        <w:rPr>
          <w:rFonts w:cs="微软雅黑"/>
          <w:szCs w:val="24"/>
        </w:rPr>
        <w:t>激光雷达：机器狗需集成远距离激光雷达和3D激光雷达，每种类型至少1颗</w:t>
      </w:r>
      <w:r>
        <w:rPr>
          <w:rFonts w:hint="eastAsia" w:cs="微软雅黑"/>
          <w:szCs w:val="24"/>
        </w:rPr>
        <w:t>：</w:t>
      </w:r>
    </w:p>
    <w:p w14:paraId="355FF00E">
      <w:pPr>
        <w:ind w:right="215" w:firstLine="480" w:firstLineChars="200"/>
        <w:rPr>
          <w:rFonts w:cs="微软雅黑"/>
          <w:szCs w:val="24"/>
        </w:rPr>
      </w:pPr>
      <w:r>
        <w:rPr>
          <w:rFonts w:hint="eastAsia" w:cs="微软雅黑"/>
          <w:szCs w:val="24"/>
        </w:rPr>
        <w:t>（1）</w:t>
      </w:r>
      <w:r>
        <w:rPr>
          <w:rFonts w:cs="微软雅黑"/>
          <w:szCs w:val="24"/>
        </w:rPr>
        <w:t>远距离激光雷达：盲区≤0.2m，量程≥120m，水平视场角（FOV）360°，竖直视场角（FOV）≥60°；</w:t>
      </w:r>
    </w:p>
    <w:p w14:paraId="3C89100B">
      <w:pPr>
        <w:ind w:right="215" w:firstLine="480" w:firstLineChars="200"/>
        <w:rPr>
          <w:rFonts w:cs="微软雅黑"/>
          <w:szCs w:val="24"/>
        </w:rPr>
      </w:pPr>
      <w:r>
        <w:rPr>
          <w:rFonts w:hint="eastAsia" w:cs="微软雅黑"/>
          <w:szCs w:val="24"/>
        </w:rPr>
        <w:t>（2）</w:t>
      </w:r>
      <w:r>
        <w:rPr>
          <w:rFonts w:cs="微软雅黑"/>
          <w:szCs w:val="24"/>
        </w:rPr>
        <w:t>3D激光雷达：探测范围≥40m，盲区≤0.1m，水平视场角（FOV）360°，竖直视场角（FOV）≥50°；</w:t>
      </w:r>
    </w:p>
    <w:p w14:paraId="7139505B">
      <w:pPr>
        <w:ind w:right="215" w:firstLine="480" w:firstLineChars="200"/>
        <w:rPr>
          <w:rFonts w:cs="微软雅黑"/>
          <w:szCs w:val="24"/>
        </w:rPr>
      </w:pPr>
      <w:r>
        <w:rPr>
          <w:rFonts w:cs="微软雅黑"/>
          <w:szCs w:val="24"/>
        </w:rPr>
        <w:t>激光雷达安装位置需满足至少前后各1颗，确保机器狗前进、后退时均能实现安全避障</w:t>
      </w:r>
      <w:r>
        <w:rPr>
          <w:rFonts w:hint="eastAsia" w:cs="微软雅黑"/>
          <w:szCs w:val="24"/>
        </w:rPr>
        <w:t>；</w:t>
      </w:r>
    </w:p>
    <w:p w14:paraId="3ECCB582">
      <w:pPr>
        <w:ind w:right="215" w:firstLine="480" w:firstLineChars="200"/>
      </w:pPr>
      <w:r>
        <w:rPr>
          <w:rFonts w:hint="eastAsia" w:cs="微软雅黑"/>
          <w:szCs w:val="24"/>
        </w:rPr>
        <w:t xml:space="preserve">9. </w:t>
      </w:r>
      <w:r>
        <w:rPr>
          <w:rFonts w:cs="微软雅黑"/>
          <w:szCs w:val="24"/>
        </w:rPr>
        <w:t>灯光模块：具备红蓝双色警闪灯，灯珠；具备独立补光灯；红蓝双色警闪灯及补光灯均支持独立开关控制</w:t>
      </w:r>
      <w:r>
        <w:rPr>
          <w:rFonts w:hint="eastAsia" w:cs="微软雅黑"/>
          <w:szCs w:val="24"/>
        </w:rPr>
        <w:t>。</w:t>
      </w:r>
    </w:p>
    <w:p w14:paraId="4E5C1F35">
      <w:pPr>
        <w:ind w:right="215" w:firstLine="480" w:firstLineChars="200"/>
      </w:pPr>
      <w:r>
        <w:rPr>
          <w:rFonts w:hint="eastAsia"/>
        </w:rPr>
        <w:t>10. 结构适配：</w:t>
      </w:r>
    </w:p>
    <w:p w14:paraId="3F260C12">
      <w:pPr>
        <w:ind w:firstLine="480" w:firstLineChars="200"/>
      </w:pPr>
      <w:r>
        <w:rPr>
          <w:rFonts w:hint="eastAsia"/>
        </w:rPr>
        <w:t>（1）机械适配：提供与主流四足机器人本体（满足宇树、云深处等品牌）匹配的安装结构件，重量与重心分布不影响机器狗运动性能；</w:t>
      </w:r>
    </w:p>
    <w:p w14:paraId="31A9E3E2">
      <w:pPr>
        <w:ind w:firstLine="480" w:firstLineChars="200"/>
      </w:pPr>
      <w:r>
        <w:rPr>
          <w:rFonts w:hint="eastAsia"/>
        </w:rPr>
        <w:t>（2）电气适配：供电方式与机器狗本体电源系统兼容；</w:t>
      </w:r>
    </w:p>
    <w:p w14:paraId="5D982AAB">
      <w:pPr>
        <w:ind w:firstLine="480" w:firstLineChars="200"/>
        <w:rPr>
          <w:rFonts w:hint="eastAsia"/>
        </w:rPr>
      </w:pPr>
      <w:r>
        <w:rPr>
          <w:rFonts w:hint="eastAsia"/>
        </w:rPr>
        <w:t>（3）软件适配：提供完整的基于上装硬件的二次开发SDK或接口文档，包含平台侧与上装的系统调用接口。</w:t>
      </w:r>
    </w:p>
    <w:p w14:paraId="31A9CC98">
      <w:pPr>
        <w:ind w:right="215"/>
        <w:rPr>
          <w:rFonts w:cs="微软雅黑"/>
          <w:szCs w:val="24"/>
        </w:rPr>
      </w:pPr>
    </w:p>
    <w:p w14:paraId="5A1AC154">
      <w:pPr>
        <w:pStyle w:val="3"/>
      </w:pPr>
      <w:r>
        <w:rPr>
          <w:rFonts w:hint="eastAsia"/>
        </w:rPr>
        <w:t xml:space="preserve"> </w:t>
      </w:r>
      <w:r>
        <w:rPr>
          <w:rFonts w:hint="eastAsia" w:cs="微软雅黑"/>
          <w:szCs w:val="24"/>
        </w:rPr>
        <w:t>具身智能安全巡查业务平台开发支撑要求</w:t>
      </w:r>
    </w:p>
    <w:p w14:paraId="4F7792C0">
      <w:pPr>
        <w:ind w:firstLine="480" w:firstLineChars="200"/>
      </w:pPr>
      <w:r>
        <w:rPr>
          <w:rFonts w:hint="eastAsia"/>
        </w:rPr>
        <w:t>需提供相关具备经验和技能的人员，开展</w:t>
      </w:r>
      <w:r>
        <w:rPr>
          <w:rFonts w:hint="eastAsia" w:cs="微软雅黑"/>
          <w:szCs w:val="24"/>
        </w:rPr>
        <w:t>安全巡查业务平台开发支撑工作，所有开发支撑过程的源代码均需全部交付给甲方，具体</w:t>
      </w:r>
      <w:r>
        <w:rPr>
          <w:rFonts w:hint="eastAsia"/>
        </w:rPr>
        <w:t>主要工作内容要求以及开发工作如下：</w:t>
      </w:r>
    </w:p>
    <w:p w14:paraId="3945A46B">
      <w:pPr>
        <w:ind w:firstLine="480" w:firstLineChars="200"/>
      </w:pPr>
      <w:r>
        <w:rPr>
          <w:rFonts w:hint="eastAsia"/>
        </w:rPr>
        <w:t>支撑进行</w:t>
      </w:r>
      <w:r>
        <w:t>平台界面</w:t>
      </w:r>
      <w:r>
        <w:rPr>
          <w:rFonts w:hint="eastAsia"/>
        </w:rPr>
        <w:t>开发</w:t>
      </w:r>
      <w:r>
        <w:t>：提供展示大屏、用户交互界面，包括用户功能、设备功能、任务功能、结果功能、交互功能等入口。</w:t>
      </w:r>
    </w:p>
    <w:p w14:paraId="3FC18073">
      <w:pPr>
        <w:ind w:firstLine="480" w:firstLineChars="200"/>
      </w:pPr>
      <w:r>
        <w:rPr>
          <w:rFonts w:hint="eastAsia"/>
        </w:rPr>
        <w:t>支撑进行</w:t>
      </w:r>
      <w:r>
        <w:t>任务管理模块</w:t>
      </w:r>
      <w:r>
        <w:rPr>
          <w:rFonts w:hint="eastAsia"/>
        </w:rPr>
        <w:t>开发</w:t>
      </w:r>
      <w:r>
        <w:t>：负责任务配置、任务列表、状态监控、任务调度下发，完成作业任务的调度执行。</w:t>
      </w:r>
    </w:p>
    <w:p w14:paraId="7D69A4F9">
      <w:pPr>
        <w:ind w:firstLine="480" w:firstLineChars="200"/>
      </w:pPr>
      <w:r>
        <w:rPr>
          <w:rFonts w:hint="eastAsia"/>
        </w:rPr>
        <w:t>支撑进行</w:t>
      </w:r>
      <w:r>
        <w:t>注册纳管模块</w:t>
      </w:r>
      <w:r>
        <w:rPr>
          <w:rFonts w:hint="eastAsia"/>
        </w:rPr>
        <w:t>开发</w:t>
      </w:r>
      <w:r>
        <w:t>：实现设备注册、设备纳管、状态查看、设备维护，完成机器人的全生命周期管理。</w:t>
      </w:r>
    </w:p>
    <w:p w14:paraId="58EAE58F">
      <w:pPr>
        <w:ind w:firstLine="480" w:firstLineChars="200"/>
      </w:pPr>
      <w:r>
        <w:rPr>
          <w:rFonts w:hint="eastAsia"/>
        </w:rPr>
        <w:t>支撑进行</w:t>
      </w:r>
      <w:r>
        <w:t>统计报表模块</w:t>
      </w:r>
      <w:r>
        <w:rPr>
          <w:rFonts w:hint="eastAsia"/>
        </w:rPr>
        <w:t>开发</w:t>
      </w:r>
      <w:r>
        <w:t>：提供</w:t>
      </w:r>
      <w:r>
        <w:rPr>
          <w:rFonts w:hint="eastAsia"/>
        </w:rPr>
        <w:t>安全巡查巡逻</w:t>
      </w:r>
      <w:r>
        <w:t>任务</w:t>
      </w:r>
      <w:r>
        <w:rPr>
          <w:rFonts w:hint="eastAsia"/>
        </w:rPr>
        <w:t>的</w:t>
      </w:r>
      <w:r>
        <w:t>结果统计、任务日志、文件导出功能，支撑业务数据分析。</w:t>
      </w:r>
    </w:p>
    <w:p w14:paraId="46757797">
      <w:pPr>
        <w:ind w:firstLine="480" w:firstLineChars="200"/>
      </w:pPr>
      <w:r>
        <w:rPr>
          <w:rFonts w:hint="eastAsia"/>
        </w:rPr>
        <w:t>支撑进行</w:t>
      </w:r>
      <w:r>
        <w:t>地图管理模块</w:t>
      </w:r>
      <w:r>
        <w:rPr>
          <w:rFonts w:hint="eastAsia"/>
        </w:rPr>
        <w:t>开发</w:t>
      </w:r>
      <w:r>
        <w:t>：提供建图模块集成、全局地图管理、移动点位管理、点位动作管理，支撑机器人的空间作业能力。</w:t>
      </w:r>
    </w:p>
    <w:p w14:paraId="2379B120">
      <w:pPr>
        <w:ind w:firstLine="480" w:firstLineChars="200"/>
      </w:pPr>
      <w:r>
        <w:rPr>
          <w:rFonts w:hint="eastAsia"/>
        </w:rPr>
        <w:t>支撑进行</w:t>
      </w:r>
      <w:r>
        <w:t>运动与导航管理模块</w:t>
      </w:r>
      <w:r>
        <w:rPr>
          <w:rFonts w:hint="eastAsia"/>
        </w:rPr>
        <w:t>开发</w:t>
      </w:r>
      <w:r>
        <w:t>：提供路径规划模块集成、运动状态监控、运动异常管理，实现机器人的移动控制能力。</w:t>
      </w:r>
    </w:p>
    <w:p w14:paraId="0E8CE73A"/>
    <w:p w14:paraId="4E8F644D">
      <w:pPr>
        <w:pStyle w:val="3"/>
        <w:rPr>
          <w:rFonts w:cs="微软雅黑"/>
          <w:szCs w:val="24"/>
        </w:rPr>
      </w:pPr>
      <w:r>
        <w:rPr>
          <w:rFonts w:hint="eastAsia" w:cs="微软雅黑"/>
          <w:szCs w:val="24"/>
        </w:rPr>
        <w:t xml:space="preserve"> 具身智能安全巡查能力适配及工程化开发支撑要求</w:t>
      </w:r>
    </w:p>
    <w:p w14:paraId="6E07BBB5">
      <w:pPr>
        <w:ind w:firstLine="480" w:firstLineChars="200"/>
      </w:pPr>
      <w:r>
        <w:rPr>
          <w:rFonts w:hint="eastAsia"/>
        </w:rPr>
        <w:t>需提供相关具备经验和技能的人员，</w:t>
      </w:r>
      <w:r>
        <w:rPr>
          <w:rFonts w:hint="eastAsia" w:cs="微软雅黑"/>
          <w:szCs w:val="24"/>
        </w:rPr>
        <w:t>安全巡查能力适配及工程化开发支撑工作，所有开发支撑过程的源代码均需全部交付给甲方，具体</w:t>
      </w:r>
      <w:r>
        <w:rPr>
          <w:rFonts w:hint="eastAsia"/>
        </w:rPr>
        <w:t>主要工作内容要求如下：</w:t>
      </w:r>
    </w:p>
    <w:p w14:paraId="39B8F183">
      <w:pPr>
        <w:ind w:firstLine="480" w:firstLineChars="200"/>
      </w:pPr>
      <w:r>
        <w:rPr>
          <w:rFonts w:hint="eastAsia"/>
        </w:rPr>
        <w:t>（1）支撑协助多源传感器融合的语义地图构建及导航。算法应支持融合机器人相机、激光雷达、惯性传感器、实时定位等数据及先验高精度地图，构建面向园区路面的静态语义地图，并支持动态语义对象更新。静态语义地图包括道路、停车位、停车区域、标识线、禁行区、出入口、充电点、巡逻点位等固定对象；动态语义对象包括车辆、人员、临时障碍物、异常事件等，并应与地图坐标、时间戳和任务记录关联，用于语义地图更新和后续任务执行。</w:t>
      </w:r>
    </w:p>
    <w:p w14:paraId="0715F1A8">
      <w:pPr>
        <w:ind w:firstLine="480" w:firstLineChars="200"/>
      </w:pPr>
      <w:r>
        <w:rPr>
          <w:rFonts w:hint="eastAsia"/>
        </w:rPr>
        <w:t>（2）支撑协助实现基于多源数据的目标感知。支持机器人根据定位、云台相机数据、激光点云数据对车辆、车牌等信息进行目标识别和定位。</w:t>
      </w:r>
    </w:p>
    <w:p w14:paraId="6FE45CF2">
      <w:pPr>
        <w:ind w:firstLine="480" w:firstLineChars="200"/>
      </w:pPr>
      <w:r>
        <w:rPr>
          <w:rFonts w:hint="eastAsia"/>
        </w:rPr>
        <w:t>（3）支撑协助实现分布式语义地图更新与同步。支持多机器人在巡查过程中分别维护本地语义地图，并将车辆识别结果、区域覆盖记录、位置信息、任务进度和异常事件同步到云端或全局语义地图。</w:t>
      </w:r>
    </w:p>
    <w:p w14:paraId="26CEA27B">
      <w:pPr>
        <w:ind w:firstLine="480" w:firstLineChars="200"/>
      </w:pPr>
      <w:r>
        <w:rPr>
          <w:rFonts w:hint="eastAsia"/>
        </w:rPr>
        <w:t>（4）支撑协助实现人机交互语音文字转化。支持语音与文字双向转化。</w:t>
      </w:r>
    </w:p>
    <w:p w14:paraId="603C182E">
      <w:pPr>
        <w:ind w:firstLine="480" w:firstLineChars="200"/>
      </w:pPr>
      <w:r>
        <w:rPr>
          <w:rFonts w:hint="eastAsia"/>
        </w:rPr>
        <w:t>（5）基于语义地图导航接口，支持通过语音或文字理解用户任务目标，将自然语言描述转换为结构化任务参数，例如车牌号、车辆颜色、车型、品牌、停车区域、时间范围和任务优先级等。系统应形成“用户语音或文字输入—语义任务解析—语义地图查询—候选目标生成—安全校验—三维导航执行—状态反馈—到点复核”的完整闭环，并基于语义地图输出可执行的导航目标、路径信息和反馈结果。</w:t>
      </w:r>
    </w:p>
    <w:p w14:paraId="7C789232">
      <w:pPr>
        <w:ind w:firstLine="480" w:firstLineChars="200"/>
      </w:pPr>
      <w:r>
        <w:rPr>
          <w:rFonts w:hint="eastAsia"/>
        </w:rPr>
        <w:t>（6）支撑多机协同调度与任务分解内容研发，完成多机器人在园区路面进行协同巡查和寻车任务分解，在机器人数量、当前位置、电量、在线状态、任务负载、巡逻点位数量、点位距离和任务时限等约束下，生成全局优化或近似最优的任务分配方案及全域路径规划。</w:t>
      </w:r>
    </w:p>
    <w:p w14:paraId="388D812D">
      <w:pPr>
        <w:ind w:firstLine="480" w:firstLineChars="200"/>
      </w:pPr>
      <w:r>
        <w:rPr>
          <w:rFonts w:hint="eastAsia"/>
        </w:rPr>
        <w:t>（7）协助完成隐患点位驻守补全、临时新增点位动态重分配等功能开发；当机器人出现低电量、通信异常、路径阻塞或任务失败时，算法应支持动态重规划，将未完成点位或区域重新分配给其他机器人。</w:t>
      </w:r>
    </w:p>
    <w:p w14:paraId="27A15C50">
      <w:pPr>
        <w:ind w:right="216"/>
        <w:rPr>
          <w:rFonts w:cs="微软雅黑"/>
          <w:b/>
          <w:bCs/>
          <w:szCs w:val="24"/>
        </w:rPr>
      </w:pPr>
    </w:p>
    <w:p w14:paraId="745F2F0B">
      <w:pPr>
        <w:pStyle w:val="2"/>
        <w:bidi w:val="0"/>
      </w:pPr>
      <w:r>
        <w:rPr>
          <w:rFonts w:hint="eastAsia"/>
          <w:lang w:val="en-US" w:eastAsia="zh-CN"/>
        </w:rPr>
        <w:t xml:space="preserve"> </w:t>
      </w:r>
      <w:r>
        <w:rPr>
          <w:rFonts w:hint="eastAsia"/>
        </w:rPr>
        <w:t>技术能力要求</w:t>
      </w:r>
    </w:p>
    <w:p w14:paraId="029CABDE">
      <w:pPr>
        <w:ind w:right="216"/>
        <w:rPr>
          <w:rFonts w:cs="微软雅黑"/>
          <w:szCs w:val="24"/>
        </w:rPr>
      </w:pPr>
      <w:r>
        <w:rPr>
          <w:rFonts w:hint="eastAsia" w:cs="微软雅黑"/>
          <w:szCs w:val="24"/>
        </w:rPr>
        <w:t>乙方提供的研发技术服务人员满足以下基本条件：</w:t>
      </w:r>
    </w:p>
    <w:p w14:paraId="4F7A024B">
      <w:pPr>
        <w:ind w:right="216"/>
        <w:rPr>
          <w:rFonts w:cs="微软雅黑"/>
          <w:szCs w:val="24"/>
        </w:rPr>
      </w:pPr>
      <w:r>
        <w:rPr>
          <w:rFonts w:hint="eastAsia" w:cs="微软雅黑"/>
          <w:szCs w:val="24"/>
        </w:rPr>
        <w:t>（</w:t>
      </w:r>
      <w:r>
        <w:rPr>
          <w:rFonts w:cs="微软雅黑"/>
          <w:szCs w:val="24"/>
        </w:rPr>
        <w:t>1</w:t>
      </w:r>
      <w:r>
        <w:rPr>
          <w:rFonts w:hint="eastAsia" w:cs="微软雅黑"/>
          <w:szCs w:val="24"/>
        </w:rPr>
        <w:t>）熟悉机器人感知定位导航框架；</w:t>
      </w:r>
    </w:p>
    <w:p w14:paraId="16B6DC41">
      <w:pPr>
        <w:ind w:right="216"/>
        <w:rPr>
          <w:rFonts w:cs="微软雅黑"/>
          <w:szCs w:val="24"/>
        </w:rPr>
      </w:pPr>
      <w:r>
        <w:rPr>
          <w:rFonts w:hint="eastAsia" w:cs="微软雅黑"/>
          <w:szCs w:val="24"/>
        </w:rPr>
        <w:t>（</w:t>
      </w:r>
      <w:r>
        <w:rPr>
          <w:rFonts w:cs="微软雅黑"/>
          <w:szCs w:val="24"/>
        </w:rPr>
        <w:t>2</w:t>
      </w:r>
      <w:r>
        <w:rPr>
          <w:rFonts w:hint="eastAsia" w:cs="微软雅黑"/>
          <w:szCs w:val="24"/>
        </w:rPr>
        <w:t>）具备感知模型自动化标注、训练和部署经验；</w:t>
      </w:r>
    </w:p>
    <w:p w14:paraId="002C6E67">
      <w:pPr>
        <w:ind w:right="216"/>
        <w:rPr>
          <w:rFonts w:cs="微软雅黑"/>
          <w:szCs w:val="24"/>
        </w:rPr>
      </w:pPr>
      <w:r>
        <w:rPr>
          <w:rFonts w:hint="eastAsia" w:cs="微软雅黑"/>
          <w:szCs w:val="24"/>
        </w:rPr>
        <w:t>（</w:t>
      </w:r>
      <w:r>
        <w:rPr>
          <w:rFonts w:cs="微软雅黑"/>
          <w:szCs w:val="24"/>
        </w:rPr>
        <w:t>3</w:t>
      </w:r>
      <w:r>
        <w:rPr>
          <w:rFonts w:hint="eastAsia" w:cs="微软雅黑"/>
          <w:szCs w:val="24"/>
        </w:rPr>
        <w:t>）具备多机协同规划算法开发、部署经验；</w:t>
      </w:r>
    </w:p>
    <w:p w14:paraId="43940F27">
      <w:pPr>
        <w:ind w:right="216"/>
        <w:rPr>
          <w:rFonts w:cs="微软雅黑"/>
          <w:szCs w:val="24"/>
        </w:rPr>
      </w:pPr>
      <w:r>
        <w:rPr>
          <w:rFonts w:hint="eastAsia" w:cs="微软雅黑"/>
          <w:szCs w:val="24"/>
        </w:rPr>
        <w:t>（</w:t>
      </w:r>
      <w:r>
        <w:rPr>
          <w:rFonts w:cs="微软雅黑"/>
          <w:szCs w:val="24"/>
        </w:rPr>
        <w:t>4</w:t>
      </w:r>
      <w:r>
        <w:rPr>
          <w:rFonts w:hint="eastAsia" w:cs="微软雅黑"/>
          <w:szCs w:val="24"/>
        </w:rPr>
        <w:t>）思维清晰严谨，自学能力强，踏实肯干，有工作热情，良好的沟通协调能力；</w:t>
      </w:r>
    </w:p>
    <w:p w14:paraId="22162BAE">
      <w:pPr>
        <w:ind w:right="216"/>
        <w:rPr>
          <w:rFonts w:cs="微软雅黑"/>
          <w:szCs w:val="24"/>
        </w:rPr>
      </w:pPr>
      <w:r>
        <w:rPr>
          <w:rFonts w:hint="eastAsia" w:cs="微软雅黑"/>
          <w:szCs w:val="24"/>
        </w:rPr>
        <w:t>（</w:t>
      </w:r>
      <w:r>
        <w:rPr>
          <w:rFonts w:cs="微软雅黑"/>
          <w:szCs w:val="24"/>
        </w:rPr>
        <w:t>5</w:t>
      </w:r>
      <w:r>
        <w:rPr>
          <w:rFonts w:hint="eastAsia" w:cs="微软雅黑"/>
          <w:szCs w:val="24"/>
        </w:rPr>
        <w:t>）工作积极主动，具自主学习心态和能力；富有责任心和创新精神，团队合作能力强。</w:t>
      </w:r>
    </w:p>
    <w:p w14:paraId="47967246">
      <w:pPr>
        <w:ind w:right="216"/>
        <w:rPr>
          <w:rFonts w:cs="微软雅黑"/>
          <w:szCs w:val="24"/>
        </w:rPr>
      </w:pPr>
    </w:p>
    <w:p w14:paraId="71AACCE1">
      <w:pPr>
        <w:pStyle w:val="3"/>
        <w:bidi w:val="0"/>
      </w:pPr>
      <w:r>
        <w:rPr>
          <w:rFonts w:hint="eastAsia"/>
          <w:lang w:val="en-US" w:eastAsia="zh-CN"/>
        </w:rPr>
        <w:t xml:space="preserve"> </w:t>
      </w:r>
      <w:r>
        <w:rPr>
          <w:rFonts w:hint="eastAsia"/>
        </w:rPr>
        <w:t>外协技术服务方式</w:t>
      </w:r>
    </w:p>
    <w:p w14:paraId="4082D1B1">
      <w:pPr>
        <w:ind w:right="216"/>
        <w:rPr>
          <w:rFonts w:cs="微软雅黑"/>
          <w:szCs w:val="24"/>
        </w:rPr>
      </w:pPr>
      <w:r>
        <w:rPr>
          <w:rFonts w:hint="eastAsia" w:cs="微软雅黑"/>
          <w:szCs w:val="24"/>
        </w:rPr>
        <w:t>（1）乙方指派的向甲方提供研发技术服务的人员，乙方需配合提供驻场场地及配合网络环境搭建及配合接入甲方环境。</w:t>
      </w:r>
    </w:p>
    <w:p w14:paraId="75B35A2D">
      <w:pPr>
        <w:ind w:right="216"/>
        <w:rPr>
          <w:rFonts w:cs="微软雅黑"/>
          <w:szCs w:val="24"/>
        </w:rPr>
      </w:pPr>
      <w:r>
        <w:rPr>
          <w:rFonts w:hint="eastAsia" w:cs="微软雅黑"/>
          <w:szCs w:val="24"/>
        </w:rPr>
        <w:t>（2）根据甲方项目要求，乙方可以派驻人员到甲方场所或者由甲方指定的场所进行研发和服务，驻场时间视项目要求确定，乙方驻点人员须自行解决驻点产生的工位费用以及现场工作中产生的交通、住宿、餐饮等差旅费用。本项目针对驻点人员办公工作位使用费收费标准如下：</w:t>
      </w:r>
    </w:p>
    <w:p w14:paraId="7C97593E">
      <w:pPr>
        <w:ind w:right="216"/>
        <w:rPr>
          <w:rFonts w:cs="微软雅黑"/>
          <w:szCs w:val="24"/>
        </w:rPr>
      </w:pPr>
      <w:r>
        <w:rPr>
          <w:rFonts w:hint="eastAsia" w:cs="微软雅黑"/>
          <w:szCs w:val="24"/>
        </w:rPr>
        <w:t>①　全球通大厦标准坐席1230 元/席/月，临时（长条桌）坐席615元/席/月</w:t>
      </w:r>
    </w:p>
    <w:p w14:paraId="5547AB1D">
      <w:pPr>
        <w:ind w:right="216"/>
        <w:rPr>
          <w:rFonts w:cs="微软雅黑"/>
          <w:szCs w:val="24"/>
        </w:rPr>
      </w:pPr>
      <w:r>
        <w:rPr>
          <w:rFonts w:hint="eastAsia" w:cs="微软雅黑"/>
          <w:szCs w:val="24"/>
        </w:rPr>
        <w:t xml:space="preserve">②　东兴大厦/办公楼 708 元/席/月 </w:t>
      </w:r>
    </w:p>
    <w:p w14:paraId="397C60A9">
      <w:pPr>
        <w:ind w:right="216"/>
        <w:rPr>
          <w:rFonts w:cs="微软雅黑"/>
          <w:szCs w:val="24"/>
        </w:rPr>
      </w:pPr>
      <w:r>
        <w:rPr>
          <w:rFonts w:hint="eastAsia" w:cs="微软雅黑"/>
          <w:szCs w:val="24"/>
        </w:rPr>
        <w:t xml:space="preserve">③　金海大厦/办公楼 702 元/席/月 </w:t>
      </w:r>
    </w:p>
    <w:p w14:paraId="73950729">
      <w:pPr>
        <w:ind w:right="216"/>
        <w:rPr>
          <w:rFonts w:cs="微软雅黑"/>
          <w:szCs w:val="24"/>
        </w:rPr>
      </w:pPr>
      <w:r>
        <w:rPr>
          <w:rFonts w:hint="eastAsia" w:cs="微软雅黑"/>
          <w:szCs w:val="24"/>
        </w:rPr>
        <w:t xml:space="preserve">④　旧全球通大厦/办公楼 633 元/席/月 </w:t>
      </w:r>
    </w:p>
    <w:p w14:paraId="3740B2F2">
      <w:pPr>
        <w:ind w:right="216"/>
        <w:rPr>
          <w:rFonts w:cs="微软雅黑"/>
          <w:szCs w:val="24"/>
        </w:rPr>
      </w:pPr>
      <w:r>
        <w:rPr>
          <w:rFonts w:hint="eastAsia" w:cs="微软雅黑"/>
          <w:szCs w:val="24"/>
        </w:rPr>
        <w:t xml:space="preserve">⑤　梅东路62号/办公楼 678 元/席/月 </w:t>
      </w:r>
    </w:p>
    <w:p w14:paraId="481DBBEA">
      <w:pPr>
        <w:ind w:right="216"/>
        <w:rPr>
          <w:rFonts w:cs="微软雅黑"/>
          <w:szCs w:val="24"/>
        </w:rPr>
      </w:pPr>
      <w:r>
        <w:rPr>
          <w:rFonts w:hint="eastAsia" w:cs="微软雅黑"/>
          <w:szCs w:val="24"/>
        </w:rPr>
        <w:t>⑥　南方基地 900 元/席/月</w:t>
      </w:r>
    </w:p>
    <w:p w14:paraId="37BEDD38">
      <w:pPr>
        <w:ind w:right="216"/>
        <w:rPr>
          <w:rFonts w:cs="微软雅黑"/>
          <w:szCs w:val="24"/>
        </w:rPr>
      </w:pPr>
      <w:r>
        <w:rPr>
          <w:rFonts w:hint="eastAsia" w:cs="微软雅黑"/>
          <w:szCs w:val="24"/>
        </w:rPr>
        <w:t>（3）乙方需安排至少35名人员开展研发服务，其中项目经理至少1人，项目经理担任项目协调、人员管理、外协管理系统工作流程处理等管理工作，负责监督、协调相关技术服务的执行情况。驻点人员至少3人，乙方根据甲方需求，向乙方技术服务人员提供笔记本电脑等相关办公设备。</w:t>
      </w:r>
    </w:p>
    <w:p w14:paraId="303985AF">
      <w:pPr>
        <w:ind w:right="216"/>
        <w:rPr>
          <w:rFonts w:cs="微软雅黑"/>
          <w:szCs w:val="24"/>
        </w:rPr>
      </w:pPr>
      <w:r>
        <w:rPr>
          <w:rFonts w:hint="eastAsia" w:cs="微软雅黑"/>
          <w:szCs w:val="24"/>
        </w:rPr>
        <w:t>（4）同时，应力所能及满足某些特定项目的特殊工具需求。笔记本电脑必须满足甲方要求，不得以任何名义不提供要求配置的笔记本电脑。</w:t>
      </w:r>
    </w:p>
    <w:p w14:paraId="29CA6A56">
      <w:pPr>
        <w:ind w:right="216"/>
        <w:rPr>
          <w:rFonts w:cs="微软雅黑"/>
          <w:szCs w:val="24"/>
        </w:rPr>
      </w:pPr>
      <w:r>
        <w:rPr>
          <w:rFonts w:hint="eastAsia" w:cs="微软雅黑"/>
          <w:szCs w:val="24"/>
        </w:rPr>
        <w:t>（5）乙方技术服务人员应遵守甲方以及甲方客户的工作流程及相关管理规定。</w:t>
      </w:r>
    </w:p>
    <w:p w14:paraId="555E1DF6">
      <w:pPr>
        <w:ind w:right="216"/>
        <w:rPr>
          <w:rFonts w:cs="微软雅黑"/>
          <w:szCs w:val="24"/>
        </w:rPr>
      </w:pPr>
      <w:r>
        <w:rPr>
          <w:rFonts w:hint="eastAsia" w:cs="微软雅黑"/>
          <w:szCs w:val="24"/>
        </w:rPr>
        <w:t>（6）乙方需提供一名商务接口人负责与甲方接洽项目需求、订单签署、工作量确认及项目验收等相关工作，其联系方式（电话、邮箱）应保持固定。若乙方因特殊原因需要变更接口人的，应提前10个工作日以书面形式通知甲方采购及各需求部门。</w:t>
      </w:r>
    </w:p>
    <w:p w14:paraId="16B05377">
      <w:pPr>
        <w:ind w:right="216"/>
        <w:rPr>
          <w:rFonts w:cs="微软雅黑"/>
          <w:szCs w:val="24"/>
        </w:rPr>
      </w:pPr>
      <w:r>
        <w:rPr>
          <w:rFonts w:hint="eastAsia" w:cs="微软雅黑"/>
          <w:szCs w:val="24"/>
        </w:rPr>
        <w:t>（7）乙方需要提供</w:t>
      </w:r>
      <w:r>
        <w:rPr>
          <w:rFonts w:hint="eastAsia" w:cs="微软雅黑"/>
          <w:szCs w:val="24"/>
          <w:lang w:val="en-US" w:eastAsia="zh-CN"/>
        </w:rPr>
        <w:t>满足要求的</w:t>
      </w:r>
      <w:r>
        <w:rPr>
          <w:rFonts w:hint="eastAsia" w:cs="微软雅黑"/>
          <w:szCs w:val="24"/>
        </w:rPr>
        <w:t>服务</w:t>
      </w:r>
      <w:r>
        <w:rPr>
          <w:rFonts w:hint="eastAsia" w:cs="微软雅黑"/>
          <w:szCs w:val="24"/>
          <w:lang w:val="en-US" w:eastAsia="zh-CN"/>
        </w:rPr>
        <w:t>人员</w:t>
      </w:r>
      <w:r>
        <w:rPr>
          <w:rFonts w:hint="eastAsia" w:cs="微软雅黑"/>
          <w:szCs w:val="24"/>
        </w:rPr>
        <w:t>，人数要求如下。</w:t>
      </w:r>
    </w:p>
    <w:tbl>
      <w:tblPr>
        <w:tblStyle w:val="9"/>
        <w:tblW w:w="5320" w:type="pct"/>
        <w:tblCellSpacing w:w="0" w:type="dxa"/>
        <w:tblInd w:w="-337" w:type="dxa"/>
        <w:tblLayout w:type="autofit"/>
        <w:tblCellMar>
          <w:top w:w="0" w:type="dxa"/>
          <w:left w:w="0" w:type="dxa"/>
          <w:bottom w:w="0" w:type="dxa"/>
          <w:right w:w="0" w:type="dxa"/>
        </w:tblCellMar>
      </w:tblPr>
      <w:tblGrid>
        <w:gridCol w:w="6881"/>
        <w:gridCol w:w="850"/>
        <w:gridCol w:w="1160"/>
      </w:tblGrid>
      <w:tr w14:paraId="15605CE6">
        <w:trPr>
          <w:trHeight w:val="551" w:hRule="atLeast"/>
          <w:tblCellSpacing w:w="0" w:type="dxa"/>
        </w:trPr>
        <w:tc>
          <w:tcPr>
            <w:tcW w:w="3869"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057EC1B1">
            <w:pPr>
              <w:spacing w:line="240" w:lineRule="auto"/>
              <w:jc w:val="center"/>
              <w:rPr>
                <w:b/>
                <w:bCs/>
                <w:sz w:val="21"/>
                <w:szCs w:val="21"/>
              </w:rPr>
            </w:pPr>
            <w:r>
              <w:rPr>
                <w:rFonts w:hint="eastAsia"/>
                <w:b/>
                <w:bCs/>
                <w:sz w:val="21"/>
                <w:szCs w:val="21"/>
              </w:rPr>
              <w:t>服务内容</w:t>
            </w:r>
          </w:p>
        </w:tc>
        <w:tc>
          <w:tcPr>
            <w:tcW w:w="478"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6AD96563">
            <w:pPr>
              <w:spacing w:line="240" w:lineRule="auto"/>
              <w:jc w:val="center"/>
              <w:rPr>
                <w:b/>
                <w:bCs/>
                <w:sz w:val="21"/>
                <w:szCs w:val="21"/>
              </w:rPr>
            </w:pPr>
            <w:r>
              <w:rPr>
                <w:rFonts w:hint="eastAsia"/>
                <w:b/>
                <w:bCs/>
                <w:sz w:val="21"/>
                <w:szCs w:val="21"/>
              </w:rPr>
              <w:t>预估人数</w:t>
            </w:r>
          </w:p>
        </w:tc>
        <w:tc>
          <w:tcPr>
            <w:tcW w:w="652"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311368BF">
            <w:pPr>
              <w:spacing w:line="240" w:lineRule="auto"/>
              <w:jc w:val="center"/>
              <w:rPr>
                <w:b/>
                <w:bCs/>
                <w:sz w:val="21"/>
                <w:szCs w:val="21"/>
              </w:rPr>
            </w:pPr>
            <w:r>
              <w:rPr>
                <w:rFonts w:hint="eastAsia"/>
                <w:b/>
                <w:bCs/>
                <w:sz w:val="21"/>
                <w:szCs w:val="21"/>
              </w:rPr>
              <w:t>预估工作量</w:t>
            </w:r>
          </w:p>
          <w:p w14:paraId="50A642E0">
            <w:pPr>
              <w:spacing w:line="240" w:lineRule="auto"/>
              <w:jc w:val="center"/>
              <w:rPr>
                <w:b/>
                <w:bCs/>
                <w:sz w:val="21"/>
                <w:szCs w:val="21"/>
              </w:rPr>
            </w:pPr>
            <w:r>
              <w:rPr>
                <w:rFonts w:hint="eastAsia"/>
                <w:b/>
                <w:bCs/>
                <w:sz w:val="21"/>
                <w:szCs w:val="21"/>
              </w:rPr>
              <w:t>（人天）</w:t>
            </w:r>
          </w:p>
        </w:tc>
      </w:tr>
      <w:tr w14:paraId="200D4979">
        <w:trPr>
          <w:trHeight w:val="877" w:hRule="atLeast"/>
          <w:tblCellSpacing w:w="0" w:type="dxa"/>
        </w:trPr>
        <w:tc>
          <w:tcPr>
            <w:tcW w:w="3869"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2CD8AF02">
            <w:pPr>
              <w:keepNext w:val="0"/>
              <w:keepLines w:val="0"/>
              <w:pageBreakBefore w:val="0"/>
              <w:kinsoku/>
              <w:wordWrap/>
              <w:overflowPunct/>
              <w:topLinePunct w:val="0"/>
              <w:autoSpaceDE/>
              <w:autoSpaceDN/>
              <w:bidi w:val="0"/>
              <w:adjustRightInd/>
              <w:snapToGrid/>
              <w:spacing w:beforeAutospacing="0" w:afterAutospacing="0" w:line="440" w:lineRule="exact"/>
              <w:ind w:firstLine="420" w:firstLineChars="200"/>
              <w:textAlignment w:val="auto"/>
              <w:rPr>
                <w:sz w:val="21"/>
                <w:szCs w:val="21"/>
              </w:rPr>
            </w:pPr>
            <w:r>
              <w:rPr>
                <w:sz w:val="21"/>
                <w:szCs w:val="21"/>
              </w:rPr>
              <w:t>基于上装硬件为具身智能安全巡查领域提供技术研发服务，协助需求方完成以下工作：</w:t>
            </w:r>
          </w:p>
          <w:p w14:paraId="0FBEB632">
            <w:pPr>
              <w:keepNext w:val="0"/>
              <w:keepLines w:val="0"/>
              <w:pageBreakBefore w:val="0"/>
              <w:kinsoku/>
              <w:wordWrap/>
              <w:overflowPunct/>
              <w:topLinePunct w:val="0"/>
              <w:autoSpaceDE/>
              <w:autoSpaceDN/>
              <w:bidi w:val="0"/>
              <w:adjustRightInd/>
              <w:snapToGrid/>
              <w:spacing w:beforeAutospacing="0" w:afterAutospacing="0" w:line="440" w:lineRule="exact"/>
              <w:textAlignment w:val="auto"/>
              <w:rPr>
                <w:sz w:val="21"/>
                <w:szCs w:val="21"/>
              </w:rPr>
            </w:pPr>
            <w:r>
              <w:rPr>
                <w:rFonts w:hint="eastAsia"/>
                <w:sz w:val="21"/>
                <w:szCs w:val="21"/>
              </w:rPr>
              <w:t>（1）</w:t>
            </w:r>
            <w:r>
              <w:rPr>
                <w:sz w:val="21"/>
                <w:szCs w:val="21"/>
              </w:rPr>
              <w:t>系统开发：协助需求方基于现有机器人技术架构，完成机器人安全巡查平台、机器狗上装硬件驱动适配及联调等功能与业务逻辑的开发支撑，如地图管理、设备接入管理、巡查任务编排、传感器数据采集与处理、机器人数据显示等；协助需求方针对上装硬件设计统一接入标准API接口等。</w:t>
            </w:r>
          </w:p>
          <w:p w14:paraId="2260672B">
            <w:pPr>
              <w:keepNext w:val="0"/>
              <w:keepLines w:val="0"/>
              <w:pageBreakBefore w:val="0"/>
              <w:kinsoku/>
              <w:wordWrap/>
              <w:overflowPunct/>
              <w:topLinePunct w:val="0"/>
              <w:autoSpaceDE/>
              <w:autoSpaceDN/>
              <w:bidi w:val="0"/>
              <w:adjustRightInd/>
              <w:snapToGrid/>
              <w:spacing w:beforeAutospacing="0" w:afterAutospacing="0" w:line="440" w:lineRule="exact"/>
              <w:textAlignment w:val="auto"/>
              <w:rPr>
                <w:sz w:val="21"/>
                <w:szCs w:val="21"/>
              </w:rPr>
            </w:pPr>
            <w:r>
              <w:rPr>
                <w:rFonts w:hint="eastAsia"/>
                <w:sz w:val="21"/>
                <w:szCs w:val="21"/>
              </w:rPr>
              <w:t>（2）</w:t>
            </w:r>
            <w:r>
              <w:rPr>
                <w:sz w:val="21"/>
                <w:szCs w:val="21"/>
              </w:rPr>
              <w:t>系统部署：协助需求方完成软件部署、环境配置与系统上线；协助需求方开展用户培训与操作手册编写；协助需求方监控设备或系统运行状态，完成故障排查、修复与性能调优；</w:t>
            </w:r>
          </w:p>
        </w:tc>
        <w:tc>
          <w:tcPr>
            <w:tcW w:w="478"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6762AFA4">
            <w:pPr>
              <w:pStyle w:val="7"/>
              <w:keepNext w:val="0"/>
              <w:keepLines w:val="0"/>
              <w:pageBreakBefore w:val="0"/>
              <w:widowControl/>
              <w:kinsoku/>
              <w:wordWrap/>
              <w:overflowPunct/>
              <w:topLinePunct w:val="0"/>
              <w:autoSpaceDE/>
              <w:autoSpaceDN/>
              <w:bidi w:val="0"/>
              <w:adjustRightInd/>
              <w:snapToGrid/>
              <w:spacing w:beforeAutospacing="0" w:afterAutospacing="0" w:line="440" w:lineRule="exact"/>
              <w:jc w:val="center"/>
              <w:textAlignment w:val="auto"/>
              <w:rPr>
                <w:sz w:val="21"/>
                <w:szCs w:val="21"/>
              </w:rPr>
            </w:pPr>
            <w:r>
              <w:rPr>
                <w:sz w:val="21"/>
                <w:szCs w:val="21"/>
              </w:rPr>
              <w:t>15</w:t>
            </w:r>
          </w:p>
        </w:tc>
        <w:tc>
          <w:tcPr>
            <w:tcW w:w="652"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4FF90A4F">
            <w:pPr>
              <w:pStyle w:val="7"/>
              <w:keepNext w:val="0"/>
              <w:keepLines w:val="0"/>
              <w:pageBreakBefore w:val="0"/>
              <w:widowControl/>
              <w:kinsoku/>
              <w:wordWrap/>
              <w:overflowPunct/>
              <w:topLinePunct w:val="0"/>
              <w:autoSpaceDE/>
              <w:autoSpaceDN/>
              <w:bidi w:val="0"/>
              <w:adjustRightInd/>
              <w:snapToGrid/>
              <w:spacing w:beforeAutospacing="0" w:afterAutospacing="0" w:line="440" w:lineRule="exact"/>
              <w:jc w:val="center"/>
              <w:textAlignment w:val="auto"/>
              <w:rPr>
                <w:sz w:val="21"/>
                <w:szCs w:val="21"/>
              </w:rPr>
            </w:pPr>
            <w:r>
              <w:rPr>
                <w:rFonts w:hint="eastAsia"/>
                <w:sz w:val="21"/>
                <w:szCs w:val="21"/>
              </w:rPr>
              <w:t>1414</w:t>
            </w:r>
          </w:p>
        </w:tc>
      </w:tr>
      <w:tr w14:paraId="3B59CEED">
        <w:trPr>
          <w:trHeight w:val="877" w:hRule="atLeast"/>
          <w:tblCellSpacing w:w="0" w:type="dxa"/>
        </w:trPr>
        <w:tc>
          <w:tcPr>
            <w:tcW w:w="3869"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38C87974">
            <w:pPr>
              <w:keepNext w:val="0"/>
              <w:keepLines w:val="0"/>
              <w:pageBreakBefore w:val="0"/>
              <w:kinsoku/>
              <w:wordWrap/>
              <w:overflowPunct/>
              <w:topLinePunct w:val="0"/>
              <w:autoSpaceDE/>
              <w:autoSpaceDN/>
              <w:bidi w:val="0"/>
              <w:adjustRightInd/>
              <w:snapToGrid/>
              <w:spacing w:beforeAutospacing="0" w:afterAutospacing="0" w:line="440" w:lineRule="exact"/>
              <w:ind w:firstLine="420" w:firstLineChars="200"/>
              <w:textAlignment w:val="auto"/>
              <w:rPr>
                <w:sz w:val="21"/>
                <w:szCs w:val="21"/>
              </w:rPr>
            </w:pPr>
            <w:r>
              <w:rPr>
                <w:sz w:val="21"/>
                <w:szCs w:val="21"/>
              </w:rPr>
              <w:t>基于上装硬件为具身智能安全巡查领域提供技术研发服务，协助需求方完成以下工作：</w:t>
            </w:r>
          </w:p>
          <w:p w14:paraId="7DE83074">
            <w:pPr>
              <w:keepNext w:val="0"/>
              <w:keepLines w:val="0"/>
              <w:pageBreakBefore w:val="0"/>
              <w:kinsoku/>
              <w:wordWrap/>
              <w:overflowPunct/>
              <w:topLinePunct w:val="0"/>
              <w:autoSpaceDE/>
              <w:autoSpaceDN/>
              <w:bidi w:val="0"/>
              <w:adjustRightInd/>
              <w:snapToGrid/>
              <w:spacing w:beforeAutospacing="0" w:afterAutospacing="0" w:line="440" w:lineRule="exact"/>
              <w:textAlignment w:val="auto"/>
              <w:rPr>
                <w:sz w:val="21"/>
                <w:szCs w:val="21"/>
              </w:rPr>
            </w:pPr>
            <w:r>
              <w:rPr>
                <w:rFonts w:hint="eastAsia"/>
                <w:sz w:val="21"/>
                <w:szCs w:val="21"/>
              </w:rPr>
              <w:t>（1）</w:t>
            </w:r>
            <w:r>
              <w:rPr>
                <w:sz w:val="21"/>
                <w:szCs w:val="21"/>
              </w:rPr>
              <w:t>适配及能力开发支撑：协助需求方基于现有机器人技术架构，并基于机器狗上装硬件平台环境，完成语义导航工程适配及优化、多机协同调度策略工程适配及优化。</w:t>
            </w:r>
          </w:p>
          <w:p w14:paraId="4F97BFC3">
            <w:pPr>
              <w:keepNext w:val="0"/>
              <w:keepLines w:val="0"/>
              <w:pageBreakBefore w:val="0"/>
              <w:kinsoku/>
              <w:wordWrap/>
              <w:overflowPunct/>
              <w:topLinePunct w:val="0"/>
              <w:autoSpaceDE/>
              <w:autoSpaceDN/>
              <w:bidi w:val="0"/>
              <w:adjustRightInd/>
              <w:snapToGrid/>
              <w:spacing w:beforeAutospacing="0" w:afterAutospacing="0" w:line="440" w:lineRule="exact"/>
              <w:textAlignment w:val="auto"/>
              <w:rPr>
                <w:sz w:val="21"/>
                <w:szCs w:val="21"/>
              </w:rPr>
            </w:pPr>
            <w:r>
              <w:rPr>
                <w:rFonts w:hint="eastAsia"/>
                <w:sz w:val="21"/>
                <w:szCs w:val="21"/>
              </w:rPr>
              <w:t>（2）</w:t>
            </w:r>
            <w:r>
              <w:rPr>
                <w:sz w:val="21"/>
                <w:szCs w:val="21"/>
              </w:rPr>
              <w:t>系统工程优化及验证测试：协助需求方基于机器狗上装硬件接口进行能力开发以及系统性优化，协助进行项目试点工作，进行地图构建、语义标注等工作。</w:t>
            </w:r>
          </w:p>
        </w:tc>
        <w:tc>
          <w:tcPr>
            <w:tcW w:w="478"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0BA46BCB">
            <w:pPr>
              <w:pStyle w:val="7"/>
              <w:keepNext w:val="0"/>
              <w:keepLines w:val="0"/>
              <w:pageBreakBefore w:val="0"/>
              <w:widowControl/>
              <w:kinsoku/>
              <w:wordWrap/>
              <w:overflowPunct/>
              <w:topLinePunct w:val="0"/>
              <w:autoSpaceDE/>
              <w:autoSpaceDN/>
              <w:bidi w:val="0"/>
              <w:adjustRightInd/>
              <w:snapToGrid/>
              <w:spacing w:beforeAutospacing="0" w:afterAutospacing="0" w:line="440" w:lineRule="exact"/>
              <w:jc w:val="center"/>
              <w:textAlignment w:val="auto"/>
              <w:rPr>
                <w:sz w:val="21"/>
                <w:szCs w:val="21"/>
              </w:rPr>
            </w:pPr>
            <w:r>
              <w:rPr>
                <w:sz w:val="21"/>
                <w:szCs w:val="21"/>
              </w:rPr>
              <w:t>20</w:t>
            </w:r>
          </w:p>
        </w:tc>
        <w:tc>
          <w:tcPr>
            <w:tcW w:w="652" w:type="pct"/>
            <w:tcBorders>
              <w:top w:val="single" w:color="000000" w:sz="2" w:space="0"/>
              <w:left w:val="single" w:color="000000" w:sz="2" w:space="0"/>
              <w:bottom w:val="single" w:color="000000" w:sz="2" w:space="0"/>
              <w:right w:val="single" w:color="000000" w:sz="2" w:space="0"/>
            </w:tcBorders>
            <w:shd w:val="clear" w:color="auto" w:fill="auto"/>
            <w:tcMar>
              <w:top w:w="20" w:type="dxa"/>
              <w:left w:w="20" w:type="dxa"/>
              <w:bottom w:w="72" w:type="dxa"/>
              <w:right w:w="20" w:type="dxa"/>
            </w:tcMar>
            <w:vAlign w:val="center"/>
          </w:tcPr>
          <w:p w14:paraId="3DC7F6F4">
            <w:pPr>
              <w:pStyle w:val="7"/>
              <w:keepNext w:val="0"/>
              <w:keepLines w:val="0"/>
              <w:pageBreakBefore w:val="0"/>
              <w:widowControl/>
              <w:kinsoku/>
              <w:wordWrap/>
              <w:overflowPunct/>
              <w:topLinePunct w:val="0"/>
              <w:autoSpaceDE/>
              <w:autoSpaceDN/>
              <w:bidi w:val="0"/>
              <w:adjustRightInd/>
              <w:snapToGrid/>
              <w:spacing w:beforeAutospacing="0" w:afterAutospacing="0" w:line="440" w:lineRule="exact"/>
              <w:jc w:val="center"/>
              <w:textAlignment w:val="auto"/>
              <w:rPr>
                <w:sz w:val="21"/>
                <w:szCs w:val="21"/>
              </w:rPr>
            </w:pPr>
            <w:r>
              <w:rPr>
                <w:rFonts w:hint="eastAsia"/>
                <w:sz w:val="21"/>
                <w:szCs w:val="21"/>
              </w:rPr>
              <w:t>1768</w:t>
            </w:r>
          </w:p>
        </w:tc>
      </w:tr>
    </w:tbl>
    <w:p w14:paraId="7F641D3B">
      <w:pPr>
        <w:pStyle w:val="3"/>
        <w:bidi w:val="0"/>
      </w:pPr>
      <w:r>
        <w:rPr>
          <w:rFonts w:hint="eastAsia"/>
        </w:rPr>
        <w:t xml:space="preserve"> 外协合作单位要求</w:t>
      </w:r>
    </w:p>
    <w:p w14:paraId="3EC2570C">
      <w:pPr>
        <w:ind w:right="216" w:firstLine="480" w:firstLineChars="200"/>
        <w:rPr>
          <w:rFonts w:cs="微软雅黑"/>
          <w:szCs w:val="24"/>
        </w:rPr>
      </w:pPr>
      <w:r>
        <w:rPr>
          <w:rFonts w:hint="eastAsia" w:cs="微软雅黑"/>
          <w:szCs w:val="24"/>
        </w:rPr>
        <w:t>（1）有机器人硬件设计</w:t>
      </w:r>
      <w:r>
        <w:rPr>
          <w:rFonts w:hint="eastAsia" w:cs="微软雅黑"/>
          <w:szCs w:val="24"/>
          <w:lang w:eastAsia="zh-CN"/>
        </w:rPr>
        <w:t>、</w:t>
      </w:r>
      <w:r>
        <w:rPr>
          <w:rFonts w:hint="eastAsia" w:cs="微软雅黑"/>
          <w:szCs w:val="24"/>
          <w:lang w:val="en-US" w:eastAsia="zh-CN"/>
        </w:rPr>
        <w:t>研发</w:t>
      </w:r>
      <w:r>
        <w:rPr>
          <w:rFonts w:hint="eastAsia" w:cs="微软雅黑"/>
          <w:szCs w:val="24"/>
        </w:rPr>
        <w:t>或生产类项目、</w:t>
      </w:r>
      <w:r>
        <w:rPr>
          <w:rFonts w:hint="eastAsia" w:cs="微软雅黑"/>
          <w:szCs w:val="24"/>
          <w:lang w:val="en-US" w:eastAsia="zh-CN"/>
        </w:rPr>
        <w:t>多种类</w:t>
      </w:r>
      <w:r>
        <w:rPr>
          <w:rFonts w:hint="eastAsia" w:cs="微软雅黑"/>
          <w:szCs w:val="24"/>
        </w:rPr>
        <w:t>机器人硬件适配开发相关经验，能充分理解客户对于软硬件研发机器人与硬件适配研发相关人员素质的要求，能够充分保证研发人员质量。</w:t>
      </w:r>
    </w:p>
    <w:p w14:paraId="40922F84">
      <w:pPr>
        <w:ind w:right="216" w:firstLine="480" w:firstLineChars="200"/>
        <w:rPr>
          <w:rFonts w:cs="微软雅黑"/>
          <w:szCs w:val="24"/>
        </w:rPr>
      </w:pPr>
      <w:r>
        <w:rPr>
          <w:rFonts w:hint="eastAsia" w:cs="微软雅黑"/>
          <w:szCs w:val="24"/>
        </w:rPr>
        <w:t>（2）有一定的规模和实力，能够保持人员的稳定性以及机动人员数量的需求。</w:t>
      </w:r>
    </w:p>
    <w:p w14:paraId="4335B1B8">
      <w:pPr>
        <w:ind w:right="216" w:firstLine="480" w:firstLineChars="200"/>
        <w:rPr>
          <w:rFonts w:cs="微软雅黑"/>
          <w:szCs w:val="24"/>
        </w:rPr>
      </w:pPr>
      <w:r>
        <w:rPr>
          <w:rFonts w:hint="eastAsia" w:cs="微软雅黑"/>
          <w:szCs w:val="24"/>
        </w:rPr>
        <w:t>（</w:t>
      </w:r>
      <w:r>
        <w:rPr>
          <w:rFonts w:cs="微软雅黑"/>
          <w:szCs w:val="24"/>
        </w:rPr>
        <w:t>3</w:t>
      </w:r>
      <w:r>
        <w:rPr>
          <w:rFonts w:hint="eastAsia" w:cs="微软雅黑"/>
          <w:szCs w:val="24"/>
        </w:rPr>
        <w:t>）有切实可操作的信息安全解决方案，能够解决甲方因本项目可能涉及的信息安全问题。</w:t>
      </w:r>
      <w:r>
        <w:rPr>
          <w:rFonts w:hint="default" w:cs="微软雅黑"/>
          <w:szCs w:val="24"/>
        </w:rPr>
        <w:t>如果由于乙方原因对甲方造成信息安全相关负面影响与后果，根据严重程度对乙方进行考核处罚</w:t>
      </w:r>
    </w:p>
    <w:p w14:paraId="7DEFC6B8">
      <w:pPr>
        <w:ind w:right="216" w:firstLine="480" w:firstLineChars="200"/>
        <w:rPr>
          <w:rFonts w:cs="微软雅黑"/>
          <w:szCs w:val="24"/>
        </w:rPr>
      </w:pPr>
      <w:r>
        <w:rPr>
          <w:rFonts w:hint="eastAsia" w:cs="微软雅黑"/>
          <w:szCs w:val="24"/>
        </w:rPr>
        <w:t>（</w:t>
      </w:r>
      <w:r>
        <w:rPr>
          <w:rFonts w:cs="微软雅黑"/>
          <w:szCs w:val="24"/>
        </w:rPr>
        <w:t>4</w:t>
      </w:r>
      <w:r>
        <w:rPr>
          <w:rFonts w:hint="eastAsia" w:cs="微软雅黑"/>
          <w:szCs w:val="24"/>
        </w:rPr>
        <w:t>）如甲方驻场条件有限的情况下，应答人可提供经甲方认可的固定办公场所进行集中办公并配合在岗考勤系统连通及管理。</w:t>
      </w:r>
    </w:p>
    <w:p w14:paraId="72A769BE">
      <w:pPr>
        <w:ind w:right="216"/>
        <w:rPr>
          <w:rFonts w:cs="微软雅黑"/>
          <w:szCs w:val="24"/>
        </w:rPr>
      </w:pPr>
    </w:p>
    <w:p w14:paraId="1B908341">
      <w:pPr>
        <w:pStyle w:val="3"/>
        <w:bidi w:val="0"/>
      </w:pPr>
      <w:r>
        <w:rPr>
          <w:rFonts w:hint="eastAsia"/>
        </w:rPr>
        <w:t xml:space="preserve"> 外协人员质量要求</w:t>
      </w:r>
    </w:p>
    <w:p w14:paraId="12081761">
      <w:pPr>
        <w:ind w:right="216"/>
        <w:rPr>
          <w:rFonts w:cs="微软雅黑"/>
          <w:szCs w:val="24"/>
        </w:rPr>
      </w:pPr>
      <w:r>
        <w:rPr>
          <w:rFonts w:hint="eastAsia" w:cs="微软雅黑"/>
          <w:szCs w:val="24"/>
        </w:rPr>
        <w:t>1.外协人员能力要求：</w:t>
      </w:r>
    </w:p>
    <w:p w14:paraId="5B7591A5">
      <w:pPr>
        <w:ind w:right="216" w:firstLine="420"/>
        <w:rPr>
          <w:rFonts w:cs="微软雅黑"/>
          <w:szCs w:val="24"/>
        </w:rPr>
      </w:pPr>
      <w:r>
        <w:rPr>
          <w:rFonts w:hint="eastAsia" w:cs="微软雅黑"/>
          <w:szCs w:val="24"/>
        </w:rPr>
        <w:t>熟知各种常用开发语言及工具，能独立判断分析软硬件问题；具备丰富经验，能独立分析并解决硬件设计过程中的问题；沟通能力佳，协调能力强，能胜任组织角色；能很好的理解项目需求，独立制定项目计划，并带领团队负责项目实施。</w:t>
      </w:r>
    </w:p>
    <w:p w14:paraId="486143A1">
      <w:pPr>
        <w:ind w:right="216" w:firstLine="420"/>
        <w:rPr>
          <w:rFonts w:cs="微软雅黑"/>
          <w:szCs w:val="24"/>
        </w:rPr>
      </w:pPr>
      <w:r>
        <w:rPr>
          <w:rFonts w:hint="eastAsia" w:cs="微软雅黑"/>
          <w:szCs w:val="24"/>
        </w:rPr>
        <w:t>在</w:t>
      </w:r>
      <w:r>
        <w:rPr>
          <w:rFonts w:hint="eastAsia" w:cs="微软雅黑"/>
          <w:szCs w:val="24"/>
          <w:lang w:val="en-US" w:eastAsia="zh-CN"/>
        </w:rPr>
        <w:t>机器人以及多机协同</w:t>
      </w:r>
      <w:r>
        <w:rPr>
          <w:rFonts w:hint="eastAsia" w:cs="微软雅黑"/>
          <w:szCs w:val="24"/>
        </w:rPr>
        <w:t>领域具备丰富的经验；具备</w:t>
      </w:r>
      <w:r>
        <w:rPr>
          <w:rFonts w:hint="eastAsia" w:cs="微软雅黑"/>
          <w:szCs w:val="24"/>
          <w:lang w:val="en-US" w:eastAsia="zh-CN"/>
        </w:rPr>
        <w:t>机器人调度管理平台开发经验</w:t>
      </w:r>
      <w:r>
        <w:rPr>
          <w:rFonts w:hint="eastAsia" w:cs="微软雅黑"/>
          <w:szCs w:val="24"/>
        </w:rPr>
        <w:t>、</w:t>
      </w:r>
      <w:r>
        <w:rPr>
          <w:rFonts w:hint="eastAsia" w:cs="微软雅黑"/>
          <w:szCs w:val="24"/>
          <w:lang w:val="en-US" w:eastAsia="zh-CN"/>
        </w:rPr>
        <w:t>机器人软硬件调试经验以及多机协同或语义控制等</w:t>
      </w:r>
      <w:r>
        <w:rPr>
          <w:rFonts w:hint="eastAsia" w:cs="微软雅黑"/>
          <w:szCs w:val="24"/>
        </w:rPr>
        <w:t>算法</w:t>
      </w:r>
      <w:r>
        <w:rPr>
          <w:rFonts w:hint="eastAsia" w:cs="微软雅黑"/>
          <w:szCs w:val="24"/>
          <w:lang w:val="en-US" w:eastAsia="zh-CN"/>
        </w:rPr>
        <w:t>的</w:t>
      </w:r>
      <w:r>
        <w:rPr>
          <w:rFonts w:hint="eastAsia" w:cs="微软雅黑"/>
          <w:szCs w:val="24"/>
        </w:rPr>
        <w:t>设计经验，并</w:t>
      </w:r>
      <w:r>
        <w:rPr>
          <w:rFonts w:hint="eastAsia" w:cs="微软雅黑"/>
          <w:szCs w:val="24"/>
          <w:lang w:val="en-US" w:eastAsia="zh-CN"/>
        </w:rPr>
        <w:t>熟悉多品牌、多形态机器人的接口适配</w:t>
      </w:r>
      <w:r>
        <w:rPr>
          <w:rFonts w:hint="eastAsia" w:cs="微软雅黑"/>
          <w:szCs w:val="24"/>
        </w:rPr>
        <w:t>。</w:t>
      </w:r>
    </w:p>
    <w:p w14:paraId="566C456A">
      <w:pPr>
        <w:ind w:right="216"/>
        <w:rPr>
          <w:rFonts w:cs="微软雅黑"/>
          <w:szCs w:val="24"/>
        </w:rPr>
      </w:pPr>
      <w:r>
        <w:rPr>
          <w:rFonts w:hint="eastAsia" w:cs="微软雅黑"/>
          <w:szCs w:val="24"/>
        </w:rPr>
        <w:t>2.外协人员其他要求：</w:t>
      </w:r>
    </w:p>
    <w:p w14:paraId="12AFC9C1">
      <w:pPr>
        <w:ind w:right="216" w:firstLine="420"/>
        <w:rPr>
          <w:rFonts w:cs="微软雅黑"/>
          <w:szCs w:val="24"/>
        </w:rPr>
      </w:pPr>
      <w:r>
        <w:rPr>
          <w:rFonts w:hint="eastAsia" w:cs="微软雅黑"/>
          <w:szCs w:val="24"/>
        </w:rPr>
        <w:t>精通 Word、Excel 等办公软件使用；具备较强的学习能力，能在较短时间内根据项目需求开展工作；能够按要求如实填写实际工作进度结果，并详细记录和提交研发工作中发现的各类问题；善于沟通、表达清晰，能够就开发中出现的问题与相关人员进行准确的沟通；工作积极主动、认真仔细、责任心强。</w:t>
      </w:r>
    </w:p>
    <w:p w14:paraId="7CDBA735">
      <w:pPr>
        <w:ind w:right="216"/>
        <w:rPr>
          <w:rFonts w:cs="微软雅黑"/>
          <w:szCs w:val="24"/>
        </w:rPr>
      </w:pPr>
      <w:r>
        <w:rPr>
          <w:rFonts w:hint="eastAsia" w:cs="微软雅黑"/>
          <w:szCs w:val="24"/>
        </w:rPr>
        <w:t>3.外协人员合格判定：</w:t>
      </w:r>
    </w:p>
    <w:p w14:paraId="11AAA201">
      <w:pPr>
        <w:ind w:right="216" w:firstLine="420"/>
        <w:rPr>
          <w:rFonts w:hint="eastAsia" w:cs="微软雅黑"/>
          <w:szCs w:val="24"/>
          <w:lang w:val="en-US" w:eastAsia="zh-CN"/>
        </w:rPr>
      </w:pPr>
      <w:r>
        <w:rPr>
          <w:rFonts w:hint="eastAsia" w:cs="微软雅黑"/>
          <w:szCs w:val="24"/>
        </w:rPr>
        <w:t>外协人员由项目依据其专业经验与实际能力判定并双方确认合格与否。外协人员的教育经历及工作经历作为基本条件。</w:t>
      </w:r>
      <w:r>
        <w:rPr>
          <w:rFonts w:hint="eastAsia" w:cs="微软雅黑"/>
          <w:szCs w:val="24"/>
          <w:lang w:val="en-US" w:eastAsia="zh-CN"/>
        </w:rPr>
        <w:t>基本条件需满足：</w:t>
      </w:r>
    </w:p>
    <w:p w14:paraId="51A77449">
      <w:pPr>
        <w:numPr>
          <w:ilvl w:val="-1"/>
          <w:numId w:val="0"/>
        </w:numPr>
        <w:ind w:right="216" w:firstLine="480" w:firstLineChars="200"/>
        <w:rPr>
          <w:rFonts w:hint="default" w:cs="微软雅黑"/>
          <w:szCs w:val="24"/>
          <w:highlight w:val="none"/>
          <w:lang w:val="en-US" w:eastAsia="zh-CN"/>
        </w:rPr>
      </w:pPr>
      <w:r>
        <w:rPr>
          <w:rFonts w:hint="eastAsia" w:cs="微软雅黑"/>
          <w:szCs w:val="24"/>
          <w:highlight w:val="none"/>
          <w:lang w:val="en-US" w:eastAsia="zh-CN"/>
        </w:rPr>
        <w:t>大专或以上工科类相关专业（人工智能类、计算机类、自动化类、电气类、机械类、电子信息类或信息管理类）</w:t>
      </w:r>
    </w:p>
    <w:p w14:paraId="5A15BCAE">
      <w:pPr>
        <w:ind w:right="216" w:firstLine="420"/>
        <w:rPr>
          <w:rFonts w:cs="微软雅黑"/>
          <w:szCs w:val="24"/>
        </w:rPr>
      </w:pPr>
    </w:p>
    <w:p w14:paraId="0EF44185">
      <w:pPr>
        <w:pStyle w:val="3"/>
        <w:bidi w:val="0"/>
      </w:pPr>
      <w:r>
        <w:rPr>
          <w:rFonts w:hint="eastAsia"/>
        </w:rPr>
        <w:t xml:space="preserve"> 外协工作管理要求</w:t>
      </w:r>
    </w:p>
    <w:p w14:paraId="4B824AC8">
      <w:pPr>
        <w:ind w:right="216"/>
        <w:rPr>
          <w:rFonts w:cs="微软雅黑"/>
          <w:szCs w:val="24"/>
        </w:rPr>
      </w:pPr>
      <w:r>
        <w:rPr>
          <w:rFonts w:hint="eastAsia" w:cs="微软雅黑"/>
          <w:szCs w:val="24"/>
        </w:rPr>
        <w:t>（1）乙方应严格保证给甲方提供的“固定人员”的稳定性，如有人员变动，应提前5个工作日提出申请，并与甲方协商解决。</w:t>
      </w:r>
    </w:p>
    <w:p w14:paraId="607BAEB9">
      <w:pPr>
        <w:ind w:right="216"/>
        <w:rPr>
          <w:rFonts w:cs="微软雅黑"/>
          <w:szCs w:val="24"/>
        </w:rPr>
      </w:pPr>
      <w:r>
        <w:rPr>
          <w:rFonts w:hint="eastAsia" w:cs="微软雅黑"/>
          <w:szCs w:val="24"/>
        </w:rPr>
        <w:t>（2）乙方应根据甲方提出的人员需求（包含机动人员），在 3 个工作日内提供待选人员简历，5 个工作日内提供符合要求的研发人员；“机动人员”应优先选择已在甲方参与过研发项目的人员（如有）。</w:t>
      </w:r>
    </w:p>
    <w:p w14:paraId="03EAE7C5">
      <w:pPr>
        <w:ind w:right="216"/>
        <w:rPr>
          <w:rFonts w:cs="微软雅黑"/>
          <w:szCs w:val="24"/>
        </w:rPr>
      </w:pPr>
      <w:r>
        <w:rPr>
          <w:rFonts w:hint="eastAsia" w:cs="微软雅黑"/>
          <w:szCs w:val="24"/>
        </w:rPr>
        <w:t>（3）乙方应在研发人员进入甲方项目组前做好必要的入职培训工作，对甲方的基本流程和管理要求进行培训。同时甲方会根据岗位要求增加相关的管理 /技术类和实际操作培训，培训周期为5个工作日，在此期间，该研发人员的工作量不计入付费工作量。</w:t>
      </w:r>
    </w:p>
    <w:p w14:paraId="65CA2E01">
      <w:pPr>
        <w:ind w:right="216"/>
        <w:rPr>
          <w:rFonts w:cs="微软雅黑"/>
          <w:szCs w:val="24"/>
        </w:rPr>
      </w:pPr>
      <w:r>
        <w:rPr>
          <w:rFonts w:hint="eastAsia" w:cs="微软雅黑"/>
          <w:szCs w:val="24"/>
        </w:rPr>
        <w:t>（4）对于乙方提供的研发人员，如不符合甲方要求，甲方有权提出更换要求。</w:t>
      </w:r>
    </w:p>
    <w:p w14:paraId="1853DA78">
      <w:pPr>
        <w:ind w:right="216"/>
        <w:rPr>
          <w:rFonts w:cs="微软雅黑"/>
          <w:szCs w:val="24"/>
        </w:rPr>
      </w:pPr>
      <w:r>
        <w:rPr>
          <w:rFonts w:hint="eastAsia" w:cs="微软雅黑"/>
          <w:szCs w:val="24"/>
        </w:rPr>
        <w:t>（5）对于已参加研发项目的外协人员，如甲方发现不符合要求，有权提出更换要求。</w:t>
      </w:r>
    </w:p>
    <w:p w14:paraId="63F0FBF8">
      <w:pPr>
        <w:ind w:right="216"/>
        <w:rPr>
          <w:rFonts w:cs="微软雅黑"/>
          <w:szCs w:val="24"/>
        </w:rPr>
      </w:pPr>
      <w:r>
        <w:rPr>
          <w:rFonts w:hint="eastAsia" w:cs="微软雅黑"/>
          <w:szCs w:val="24"/>
        </w:rPr>
        <w:t>（6）乙方提供的研发人员应根据甲方要求，按时按质按量地完成任务。</w:t>
      </w:r>
    </w:p>
    <w:p w14:paraId="2EFF32C9">
      <w:pPr>
        <w:ind w:right="216"/>
        <w:rPr>
          <w:rFonts w:cs="微软雅黑"/>
          <w:szCs w:val="24"/>
        </w:rPr>
      </w:pPr>
      <w:r>
        <w:rPr>
          <w:rFonts w:hint="eastAsia" w:cs="微软雅黑"/>
          <w:szCs w:val="24"/>
        </w:rPr>
        <w:t>（7）乙方应每月对研发人员的工作情况进行总结，并与甲方商讨改进方案。</w:t>
      </w:r>
    </w:p>
    <w:p w14:paraId="739229BE">
      <w:pPr>
        <w:ind w:right="216"/>
        <w:rPr>
          <w:rFonts w:hint="eastAsia" w:cs="微软雅黑"/>
          <w:szCs w:val="24"/>
          <w:highlight w:val="none"/>
        </w:rPr>
      </w:pPr>
      <w:r>
        <w:rPr>
          <w:rFonts w:hint="eastAsia" w:cs="微软雅黑"/>
          <w:szCs w:val="24"/>
        </w:rPr>
        <w:t>（</w:t>
      </w:r>
      <w:r>
        <w:rPr>
          <w:rFonts w:hint="eastAsia" w:cs="微软雅黑"/>
          <w:szCs w:val="24"/>
          <w:lang w:val="en-US" w:eastAsia="zh-CN"/>
        </w:rPr>
        <w:t>8</w:t>
      </w:r>
      <w:r>
        <w:rPr>
          <w:rFonts w:hint="eastAsia" w:cs="微软雅黑"/>
          <w:szCs w:val="24"/>
        </w:rPr>
        <w:t>）如乙方人员违反甲方或甲方客户的各项规章制度，给甲方造成损失或不良影响的，甲方有权立即清退该人员，并按相关规定对乙方进行考核并追究乙</w:t>
      </w:r>
      <w:r>
        <w:rPr>
          <w:rFonts w:hint="eastAsia" w:cs="微软雅黑"/>
          <w:szCs w:val="24"/>
          <w:highlight w:val="none"/>
        </w:rPr>
        <w:t>方违约责任。</w:t>
      </w:r>
    </w:p>
    <w:p w14:paraId="426AA95F">
      <w:pPr>
        <w:ind w:right="216"/>
        <w:rPr>
          <w:rFonts w:hint="eastAsia" w:eastAsia="宋体" w:cs="微软雅黑"/>
          <w:szCs w:val="24"/>
          <w:highlight w:val="none"/>
          <w:lang w:eastAsia="zh-CN"/>
        </w:rPr>
      </w:pPr>
      <w:r>
        <w:rPr>
          <w:rFonts w:hint="eastAsia" w:cs="微软雅黑"/>
          <w:szCs w:val="24"/>
          <w:highlight w:val="none"/>
          <w:lang w:eastAsia="zh-CN"/>
        </w:rPr>
        <w:t>（</w:t>
      </w:r>
      <w:r>
        <w:rPr>
          <w:rFonts w:hint="eastAsia" w:cs="微软雅黑"/>
          <w:szCs w:val="24"/>
          <w:highlight w:val="none"/>
          <w:lang w:val="en-US" w:eastAsia="zh-CN"/>
        </w:rPr>
        <w:t>9</w:t>
      </w:r>
      <w:r>
        <w:rPr>
          <w:rFonts w:hint="eastAsia" w:cs="微软雅黑"/>
          <w:szCs w:val="24"/>
          <w:highlight w:val="none"/>
          <w:lang w:eastAsia="zh-CN"/>
        </w:rPr>
        <w:t>）</w:t>
      </w:r>
      <w:r>
        <w:rPr>
          <w:rFonts w:hint="eastAsia" w:cs="微软雅黑"/>
          <w:szCs w:val="24"/>
          <w:highlight w:val="none"/>
        </w:rPr>
        <w:t>乙方需根据甲方要求进行打卡记录出勤工时或提供出勤记录</w:t>
      </w:r>
      <w:r>
        <w:rPr>
          <w:rFonts w:hint="eastAsia" w:cs="微软雅黑"/>
          <w:szCs w:val="24"/>
          <w:highlight w:val="none"/>
          <w:lang w:eastAsia="zh-CN"/>
        </w:rPr>
        <w:t>，</w:t>
      </w:r>
      <w:r>
        <w:rPr>
          <w:rFonts w:hint="eastAsia" w:cs="微软雅黑"/>
          <w:szCs w:val="24"/>
          <w:highlight w:val="none"/>
          <w:lang w:val="en-US" w:eastAsia="zh-CN"/>
        </w:rPr>
        <w:t>以便进行工作量稽核</w:t>
      </w:r>
      <w:r>
        <w:rPr>
          <w:rFonts w:hint="eastAsia" w:cs="微软雅黑"/>
          <w:szCs w:val="24"/>
          <w:highlight w:val="none"/>
          <w:lang w:eastAsia="zh-CN"/>
        </w:rPr>
        <w:t>。</w:t>
      </w:r>
    </w:p>
    <w:p w14:paraId="495851DD">
      <w:pPr>
        <w:ind w:right="216"/>
        <w:rPr>
          <w:rFonts w:cs="微软雅黑"/>
          <w:szCs w:val="24"/>
          <w:highlight w:val="none"/>
        </w:rPr>
      </w:pPr>
    </w:p>
    <w:p w14:paraId="5C495E3B">
      <w:pPr>
        <w:pStyle w:val="3"/>
        <w:bidi w:val="0"/>
        <w:rPr>
          <w:highlight w:val="none"/>
        </w:rPr>
      </w:pPr>
      <w:r>
        <w:rPr>
          <w:rFonts w:hint="eastAsia"/>
          <w:highlight w:val="none"/>
        </w:rPr>
        <w:t xml:space="preserve"> 工作量核算原则</w:t>
      </w:r>
    </w:p>
    <w:p w14:paraId="05B0DA33">
      <w:pPr>
        <w:ind w:right="216" w:firstLine="420"/>
        <w:rPr>
          <w:rFonts w:cs="微软雅黑"/>
          <w:szCs w:val="24"/>
          <w:highlight w:val="none"/>
        </w:rPr>
      </w:pPr>
      <w:r>
        <w:rPr>
          <w:rFonts w:hint="eastAsia" w:cs="微软雅黑"/>
          <w:szCs w:val="24"/>
          <w:highlight w:val="none"/>
        </w:rPr>
        <w:t>工作量核算遵循结算周期内外协人员实际打卡出勤天数核算原则。</w:t>
      </w:r>
    </w:p>
    <w:p w14:paraId="0F09C16D">
      <w:pPr>
        <w:ind w:right="216"/>
        <w:rPr>
          <w:rFonts w:hint="eastAsia" w:cs="微软雅黑"/>
          <w:szCs w:val="24"/>
          <w:highlight w:val="none"/>
        </w:rPr>
      </w:pPr>
    </w:p>
    <w:p w14:paraId="24906293">
      <w:pPr>
        <w:pStyle w:val="2"/>
        <w:bidi w:val="0"/>
        <w:rPr>
          <w:highlight w:val="none"/>
        </w:rPr>
      </w:pPr>
      <w:r>
        <w:rPr>
          <w:rFonts w:hint="eastAsia"/>
          <w:highlight w:val="none"/>
          <w:lang w:val="en-US" w:eastAsia="zh-CN"/>
        </w:rPr>
        <w:t xml:space="preserve"> </w:t>
      </w:r>
      <w:r>
        <w:rPr>
          <w:rFonts w:hint="eastAsia"/>
          <w:highlight w:val="none"/>
        </w:rPr>
        <w:t>验收标准</w:t>
      </w:r>
    </w:p>
    <w:p w14:paraId="522257E0">
      <w:pPr>
        <w:ind w:right="216" w:firstLine="420"/>
        <w:rPr>
          <w:rFonts w:hint="eastAsia" w:cs="微软雅黑"/>
          <w:szCs w:val="24"/>
        </w:rPr>
      </w:pPr>
      <w:r>
        <w:rPr>
          <w:rFonts w:hint="eastAsia" w:cs="微软雅黑"/>
          <w:szCs w:val="24"/>
          <w:highlight w:val="none"/>
        </w:rPr>
        <w:t>乙方根据甲方项目需要，按照订单需求提供服务。甲方根据《具身智能安全巡查上装仪表及开发支撑服务项目</w:t>
      </w:r>
      <w:r>
        <w:rPr>
          <w:rFonts w:hint="eastAsia" w:ascii="宋体" w:hAnsi="宋体" w:cs="微软雅黑"/>
          <w:sz w:val="24"/>
          <w:szCs w:val="24"/>
          <w:highlight w:val="none"/>
        </w:rPr>
        <w:t>考核办法</w:t>
      </w:r>
      <w:r>
        <w:rPr>
          <w:rFonts w:hint="eastAsia" w:cs="微软雅黑"/>
          <w:szCs w:val="24"/>
          <w:highlight w:val="none"/>
        </w:rPr>
        <w:t>》，对乙方每</w:t>
      </w:r>
      <w:r>
        <w:rPr>
          <w:rFonts w:hint="eastAsia" w:cs="微软雅黑"/>
          <w:szCs w:val="24"/>
        </w:rPr>
        <w:t>三个月考核一次。根据需要，甲方有权对相关评价周期、评价标准等进行变更。</w:t>
      </w:r>
    </w:p>
    <w:p w14:paraId="37F8AA6C">
      <w:pPr>
        <w:ind w:right="216"/>
        <w:rPr>
          <w:rFonts w:hint="default" w:eastAsia="宋体" w:cs="微软雅黑"/>
          <w:szCs w:val="24"/>
          <w:lang w:val="en-US" w:eastAsia="zh-CN"/>
        </w:rPr>
      </w:pPr>
    </w:p>
    <w:p w14:paraId="12354B85">
      <w:pPr>
        <w:pStyle w:val="2"/>
        <w:bidi w:val="0"/>
        <w:rPr>
          <w:highlight w:val="none"/>
        </w:rPr>
      </w:pPr>
      <w:r>
        <w:rPr>
          <w:rFonts w:hint="eastAsia"/>
          <w:highlight w:val="none"/>
          <w:lang w:val="en-US" w:eastAsia="zh-CN"/>
        </w:rPr>
        <w:t xml:space="preserve"> 合同期限要求</w:t>
      </w:r>
    </w:p>
    <w:p w14:paraId="57AFDCC7">
      <w:pPr>
        <w:ind w:right="216" w:firstLine="480" w:firstLineChars="200"/>
        <w:rPr>
          <w:rFonts w:hint="eastAsia" w:cs="微软雅黑"/>
          <w:szCs w:val="24"/>
          <w:highlight w:val="none"/>
        </w:rPr>
      </w:pPr>
      <w:r>
        <w:rPr>
          <w:rFonts w:hint="eastAsia" w:cs="微软雅黑"/>
          <w:szCs w:val="24"/>
          <w:highlight w:val="none"/>
        </w:rPr>
        <w:t>自合同签订之日起至2026年12月31日。上装硬件设备部分，自订单下达之日起15天内到货，到货后15天内完成安装调试。设备免费提供1年原厂质保，以验收通过第2日起计算。</w:t>
      </w:r>
    </w:p>
    <w:p w14:paraId="2D70D12F">
      <w:pPr>
        <w:ind w:right="216"/>
        <w:rPr>
          <w:rFonts w:cs="微软雅黑"/>
          <w:szCs w:val="24"/>
        </w:rPr>
      </w:pPr>
    </w:p>
    <w:p w14:paraId="3F62399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066A6A"/>
    <w:multiLevelType w:val="multilevel"/>
    <w:tmpl w:val="40066A6A"/>
    <w:lvl w:ilvl="0" w:tentative="0">
      <w:start w:val="1"/>
      <w:numFmt w:val="decimal"/>
      <w:pStyle w:val="2"/>
      <w:lvlText w:val="%1"/>
      <w:lvlJc w:val="left"/>
      <w:pPr>
        <w:tabs>
          <w:tab w:val="left" w:pos="170"/>
        </w:tabs>
        <w:ind w:left="170" w:firstLine="0"/>
      </w:pPr>
      <w:rPr>
        <w:rFonts w:hint="eastAsia"/>
      </w:rPr>
    </w:lvl>
    <w:lvl w:ilvl="1" w:tentative="0">
      <w:start w:val="1"/>
      <w:numFmt w:val="decimal"/>
      <w:pStyle w:val="3"/>
      <w:lvlText w:val="%1.%2"/>
      <w:lvlJc w:val="left"/>
      <w:pPr>
        <w:tabs>
          <w:tab w:val="left" w:pos="170"/>
        </w:tabs>
        <w:ind w:left="170" w:firstLine="0"/>
      </w:pPr>
      <w:rPr>
        <w:rFonts w:hint="eastAsia"/>
      </w:rPr>
    </w:lvl>
    <w:lvl w:ilvl="2" w:tentative="0">
      <w:start w:val="1"/>
      <w:numFmt w:val="decimal"/>
      <w:lvlText w:val="%1.%2.%3"/>
      <w:lvlJc w:val="left"/>
      <w:pPr>
        <w:tabs>
          <w:tab w:val="left" w:pos="1622"/>
        </w:tabs>
        <w:ind w:left="1620" w:hanging="1110"/>
      </w:pPr>
      <w:rPr>
        <w:rFonts w:hint="eastAsia"/>
      </w:rPr>
    </w:lvl>
    <w:lvl w:ilvl="3" w:tentative="0">
      <w:start w:val="1"/>
      <w:numFmt w:val="decimal"/>
      <w:lvlText w:val="%1.%2.%4.%3"/>
      <w:lvlJc w:val="left"/>
      <w:pPr>
        <w:tabs>
          <w:tab w:val="left" w:pos="170"/>
        </w:tabs>
        <w:ind w:left="170" w:firstLine="0"/>
      </w:pPr>
      <w:rPr>
        <w:rFonts w:hint="eastAsia"/>
      </w:rPr>
    </w:lvl>
    <w:lvl w:ilvl="4" w:tentative="0">
      <w:start w:val="1"/>
      <w:numFmt w:val="decimal"/>
      <w:lvlText w:val="%1.%2.%3.%4.%5"/>
      <w:lvlJc w:val="left"/>
      <w:pPr>
        <w:tabs>
          <w:tab w:val="left" w:pos="13034"/>
        </w:tabs>
        <w:ind w:left="13034" w:hanging="850"/>
      </w:pPr>
      <w:rPr>
        <w:rFonts w:hint="eastAsia"/>
      </w:rPr>
    </w:lvl>
    <w:lvl w:ilvl="5" w:tentative="0">
      <w:start w:val="1"/>
      <w:numFmt w:val="decimal"/>
      <w:lvlText w:val="%1.%2.%3.%4.%5.%6"/>
      <w:lvlJc w:val="left"/>
      <w:pPr>
        <w:tabs>
          <w:tab w:val="left" w:pos="13743"/>
        </w:tabs>
        <w:ind w:left="13743" w:hanging="1134"/>
      </w:pPr>
      <w:rPr>
        <w:rFonts w:hint="eastAsia"/>
      </w:rPr>
    </w:lvl>
    <w:lvl w:ilvl="6" w:tentative="0">
      <w:start w:val="1"/>
      <w:numFmt w:val="decimal"/>
      <w:lvlText w:val="%1.%2.%3.%4.%5.%6.%7"/>
      <w:lvlJc w:val="left"/>
      <w:pPr>
        <w:tabs>
          <w:tab w:val="left" w:pos="14310"/>
        </w:tabs>
        <w:ind w:left="14310" w:hanging="1276"/>
      </w:pPr>
      <w:rPr>
        <w:rFonts w:hint="eastAsia"/>
      </w:rPr>
    </w:lvl>
    <w:lvl w:ilvl="7" w:tentative="0">
      <w:start w:val="1"/>
      <w:numFmt w:val="decimal"/>
      <w:lvlText w:val="%1.%2.%3.%4.%5.%6.%7.%8"/>
      <w:lvlJc w:val="left"/>
      <w:pPr>
        <w:tabs>
          <w:tab w:val="left" w:pos="14877"/>
        </w:tabs>
        <w:ind w:left="14877" w:hanging="1418"/>
      </w:pPr>
      <w:rPr>
        <w:rFonts w:hint="eastAsia"/>
      </w:rPr>
    </w:lvl>
    <w:lvl w:ilvl="8" w:tentative="0">
      <w:start w:val="1"/>
      <w:numFmt w:val="decimal"/>
      <w:lvlText w:val="%1.%2.%3.%4.%5.%6.%7.%8.%9"/>
      <w:lvlJc w:val="left"/>
      <w:pPr>
        <w:tabs>
          <w:tab w:val="left" w:pos="15585"/>
        </w:tabs>
        <w:ind w:left="15585"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0E0"/>
    <w:rsid w:val="0013077C"/>
    <w:rsid w:val="00295CB2"/>
    <w:rsid w:val="009323BB"/>
    <w:rsid w:val="009D1C01"/>
    <w:rsid w:val="00BF6FD5"/>
    <w:rsid w:val="00E040E0"/>
    <w:rsid w:val="02C66278"/>
    <w:rsid w:val="03D02482"/>
    <w:rsid w:val="0562439B"/>
    <w:rsid w:val="05B15785"/>
    <w:rsid w:val="075579BE"/>
    <w:rsid w:val="08080876"/>
    <w:rsid w:val="090D6E30"/>
    <w:rsid w:val="0A779FCC"/>
    <w:rsid w:val="0B113177"/>
    <w:rsid w:val="0BB40823"/>
    <w:rsid w:val="0BF87D27"/>
    <w:rsid w:val="0CE1565F"/>
    <w:rsid w:val="0D69358F"/>
    <w:rsid w:val="0D790991"/>
    <w:rsid w:val="0E1A791C"/>
    <w:rsid w:val="0E405398"/>
    <w:rsid w:val="0E776CA0"/>
    <w:rsid w:val="0EC10BA7"/>
    <w:rsid w:val="0EC94612"/>
    <w:rsid w:val="0FDFFE34"/>
    <w:rsid w:val="10500C86"/>
    <w:rsid w:val="122A2D6D"/>
    <w:rsid w:val="135A0248"/>
    <w:rsid w:val="13E3028F"/>
    <w:rsid w:val="140C2E1D"/>
    <w:rsid w:val="148B7A86"/>
    <w:rsid w:val="14C81A69"/>
    <w:rsid w:val="154A641A"/>
    <w:rsid w:val="15FB20DC"/>
    <w:rsid w:val="1709539F"/>
    <w:rsid w:val="18882C96"/>
    <w:rsid w:val="1B1105F7"/>
    <w:rsid w:val="1B2A7C30"/>
    <w:rsid w:val="1BA61E7C"/>
    <w:rsid w:val="1CAD4317"/>
    <w:rsid w:val="1D0D6AAF"/>
    <w:rsid w:val="1D8E207F"/>
    <w:rsid w:val="1FDA4770"/>
    <w:rsid w:val="21D830D9"/>
    <w:rsid w:val="22EE6089"/>
    <w:rsid w:val="233D3146"/>
    <w:rsid w:val="235D09F6"/>
    <w:rsid w:val="25106769"/>
    <w:rsid w:val="26DF75A3"/>
    <w:rsid w:val="27E70C4B"/>
    <w:rsid w:val="28725F76"/>
    <w:rsid w:val="2B9430C3"/>
    <w:rsid w:val="2BA93F69"/>
    <w:rsid w:val="2BEB01B2"/>
    <w:rsid w:val="2D053B87"/>
    <w:rsid w:val="2E565C93"/>
    <w:rsid w:val="2E7023F9"/>
    <w:rsid w:val="2F3F407A"/>
    <w:rsid w:val="2F99314D"/>
    <w:rsid w:val="2F9A23BC"/>
    <w:rsid w:val="2FFF6B66"/>
    <w:rsid w:val="30FD11AF"/>
    <w:rsid w:val="310F23AC"/>
    <w:rsid w:val="31500DB0"/>
    <w:rsid w:val="31916869"/>
    <w:rsid w:val="31CB1FE0"/>
    <w:rsid w:val="33216242"/>
    <w:rsid w:val="339F1E43"/>
    <w:rsid w:val="346213CA"/>
    <w:rsid w:val="351E598C"/>
    <w:rsid w:val="353F2EC3"/>
    <w:rsid w:val="35FF856B"/>
    <w:rsid w:val="362D9610"/>
    <w:rsid w:val="38D23F4E"/>
    <w:rsid w:val="38D757F1"/>
    <w:rsid w:val="39140A15"/>
    <w:rsid w:val="39DD1578"/>
    <w:rsid w:val="3A0D672E"/>
    <w:rsid w:val="3AD92E58"/>
    <w:rsid w:val="3AEBDA51"/>
    <w:rsid w:val="3B35E32B"/>
    <w:rsid w:val="3B5557B8"/>
    <w:rsid w:val="3BFE637F"/>
    <w:rsid w:val="3BFFFBD4"/>
    <w:rsid w:val="3CCB35A5"/>
    <w:rsid w:val="3D0C1BF2"/>
    <w:rsid w:val="3D1C4088"/>
    <w:rsid w:val="3DCB6CD8"/>
    <w:rsid w:val="3DCF665C"/>
    <w:rsid w:val="3DD73623"/>
    <w:rsid w:val="3EBE0FC8"/>
    <w:rsid w:val="3F2C3AD9"/>
    <w:rsid w:val="3F3B641F"/>
    <w:rsid w:val="3F9B003B"/>
    <w:rsid w:val="3FBC26AD"/>
    <w:rsid w:val="3FF95124"/>
    <w:rsid w:val="3FFBCD5F"/>
    <w:rsid w:val="3FFC42EA"/>
    <w:rsid w:val="3FFFCC69"/>
    <w:rsid w:val="40257D88"/>
    <w:rsid w:val="40D74D95"/>
    <w:rsid w:val="414E2543"/>
    <w:rsid w:val="41692CE7"/>
    <w:rsid w:val="432B0F72"/>
    <w:rsid w:val="435F54C7"/>
    <w:rsid w:val="43DEF23C"/>
    <w:rsid w:val="43EF2257"/>
    <w:rsid w:val="457A1BED"/>
    <w:rsid w:val="464D0968"/>
    <w:rsid w:val="46B2F00A"/>
    <w:rsid w:val="47AEB9B8"/>
    <w:rsid w:val="47F7BECC"/>
    <w:rsid w:val="48C51772"/>
    <w:rsid w:val="495A0E14"/>
    <w:rsid w:val="49931870"/>
    <w:rsid w:val="49B166A8"/>
    <w:rsid w:val="4A2A3E28"/>
    <w:rsid w:val="4A701BDF"/>
    <w:rsid w:val="4A902434"/>
    <w:rsid w:val="4AC251C9"/>
    <w:rsid w:val="4B7257F5"/>
    <w:rsid w:val="4BA17698"/>
    <w:rsid w:val="4BF605AF"/>
    <w:rsid w:val="4D615036"/>
    <w:rsid w:val="4DEE1F1E"/>
    <w:rsid w:val="4E541CAC"/>
    <w:rsid w:val="4EAD7341"/>
    <w:rsid w:val="4EFF9B71"/>
    <w:rsid w:val="4F370C79"/>
    <w:rsid w:val="4FBE34BE"/>
    <w:rsid w:val="4FEFCE0F"/>
    <w:rsid w:val="5023430F"/>
    <w:rsid w:val="507F4CBF"/>
    <w:rsid w:val="518D0650"/>
    <w:rsid w:val="51D516EF"/>
    <w:rsid w:val="5226392A"/>
    <w:rsid w:val="52466944"/>
    <w:rsid w:val="538E6B2B"/>
    <w:rsid w:val="53AE3212"/>
    <w:rsid w:val="540C62AC"/>
    <w:rsid w:val="542E3281"/>
    <w:rsid w:val="55629208"/>
    <w:rsid w:val="56FE5F6A"/>
    <w:rsid w:val="576D24FB"/>
    <w:rsid w:val="577F82FB"/>
    <w:rsid w:val="57B6143F"/>
    <w:rsid w:val="57DB6487"/>
    <w:rsid w:val="57FF8724"/>
    <w:rsid w:val="588B6DCF"/>
    <w:rsid w:val="58CA13C4"/>
    <w:rsid w:val="5AEF3918"/>
    <w:rsid w:val="5B7D4484"/>
    <w:rsid w:val="5BBBFCA6"/>
    <w:rsid w:val="5BE7C6A3"/>
    <w:rsid w:val="5E2178CA"/>
    <w:rsid w:val="5EF11B58"/>
    <w:rsid w:val="5F133854"/>
    <w:rsid w:val="5F2F50EE"/>
    <w:rsid w:val="5F3E61EA"/>
    <w:rsid w:val="5F486C5F"/>
    <w:rsid w:val="5FE882CC"/>
    <w:rsid w:val="5FFF164A"/>
    <w:rsid w:val="609E6470"/>
    <w:rsid w:val="645E77B2"/>
    <w:rsid w:val="65527AE8"/>
    <w:rsid w:val="66874F4E"/>
    <w:rsid w:val="686C282F"/>
    <w:rsid w:val="695F6C9B"/>
    <w:rsid w:val="69AD66CB"/>
    <w:rsid w:val="69B860C9"/>
    <w:rsid w:val="69FFC03F"/>
    <w:rsid w:val="6A7AFAB7"/>
    <w:rsid w:val="6AFFCF98"/>
    <w:rsid w:val="6B63F942"/>
    <w:rsid w:val="6BDE5A50"/>
    <w:rsid w:val="6BFEF799"/>
    <w:rsid w:val="6CDF8E47"/>
    <w:rsid w:val="6D57D39D"/>
    <w:rsid w:val="6DAA2E47"/>
    <w:rsid w:val="6DB7C719"/>
    <w:rsid w:val="6DD05922"/>
    <w:rsid w:val="6E354EB2"/>
    <w:rsid w:val="6E3B2D64"/>
    <w:rsid w:val="6EF65CCC"/>
    <w:rsid w:val="6F1D45CC"/>
    <w:rsid w:val="6F575F45"/>
    <w:rsid w:val="6FFB473E"/>
    <w:rsid w:val="70C325CB"/>
    <w:rsid w:val="71D45107"/>
    <w:rsid w:val="71DD4D45"/>
    <w:rsid w:val="72960552"/>
    <w:rsid w:val="751F1A56"/>
    <w:rsid w:val="75563D4C"/>
    <w:rsid w:val="759DB344"/>
    <w:rsid w:val="75FBD789"/>
    <w:rsid w:val="76D57940"/>
    <w:rsid w:val="76FF64C3"/>
    <w:rsid w:val="76FF7CC7"/>
    <w:rsid w:val="77BF73EA"/>
    <w:rsid w:val="77BF7E83"/>
    <w:rsid w:val="77DF1A18"/>
    <w:rsid w:val="77EF1471"/>
    <w:rsid w:val="77FE19CE"/>
    <w:rsid w:val="78DF8E6B"/>
    <w:rsid w:val="792967B6"/>
    <w:rsid w:val="795FA5D5"/>
    <w:rsid w:val="79765668"/>
    <w:rsid w:val="79BE24EC"/>
    <w:rsid w:val="7A077B53"/>
    <w:rsid w:val="7A8939E1"/>
    <w:rsid w:val="7AD86ABC"/>
    <w:rsid w:val="7AEFD012"/>
    <w:rsid w:val="7B262263"/>
    <w:rsid w:val="7BB53B36"/>
    <w:rsid w:val="7BE62D02"/>
    <w:rsid w:val="7BF3250F"/>
    <w:rsid w:val="7BFB1512"/>
    <w:rsid w:val="7BFFF9CA"/>
    <w:rsid w:val="7C7272FF"/>
    <w:rsid w:val="7C7E20E8"/>
    <w:rsid w:val="7CB6671C"/>
    <w:rsid w:val="7CBF8B7B"/>
    <w:rsid w:val="7D171A05"/>
    <w:rsid w:val="7DFBDEE0"/>
    <w:rsid w:val="7DFF2702"/>
    <w:rsid w:val="7DFF5694"/>
    <w:rsid w:val="7DFF5BBF"/>
    <w:rsid w:val="7E6F04F3"/>
    <w:rsid w:val="7E7747AB"/>
    <w:rsid w:val="7E7C6F1F"/>
    <w:rsid w:val="7E9F7273"/>
    <w:rsid w:val="7EB62FE5"/>
    <w:rsid w:val="7EBF34B4"/>
    <w:rsid w:val="7EFFE9B1"/>
    <w:rsid w:val="7F0FF19D"/>
    <w:rsid w:val="7F554362"/>
    <w:rsid w:val="7F678DF2"/>
    <w:rsid w:val="7F6F339F"/>
    <w:rsid w:val="7F971D8A"/>
    <w:rsid w:val="7FA65DE0"/>
    <w:rsid w:val="7FAA0F5F"/>
    <w:rsid w:val="7FAF76EB"/>
    <w:rsid w:val="7FB5B096"/>
    <w:rsid w:val="7FD5478F"/>
    <w:rsid w:val="7FD5EA50"/>
    <w:rsid w:val="7FDF04BE"/>
    <w:rsid w:val="7FEEBB0C"/>
    <w:rsid w:val="7FEFF3A6"/>
    <w:rsid w:val="7FF6D4F9"/>
    <w:rsid w:val="7FF7DEC9"/>
    <w:rsid w:val="7FFF096D"/>
    <w:rsid w:val="7FFF8404"/>
    <w:rsid w:val="7FFFC681"/>
    <w:rsid w:val="8BF53043"/>
    <w:rsid w:val="8CF3D5F8"/>
    <w:rsid w:val="8ED5C938"/>
    <w:rsid w:val="8FD5D4BC"/>
    <w:rsid w:val="8FFC31A6"/>
    <w:rsid w:val="95FBA150"/>
    <w:rsid w:val="97CE5015"/>
    <w:rsid w:val="9DBFF9F2"/>
    <w:rsid w:val="9F4F411C"/>
    <w:rsid w:val="9F9F7906"/>
    <w:rsid w:val="A7FF9F1B"/>
    <w:rsid w:val="AB5E27B0"/>
    <w:rsid w:val="ADFC2B1D"/>
    <w:rsid w:val="AE2F43D6"/>
    <w:rsid w:val="AE3B7DCB"/>
    <w:rsid w:val="AF387220"/>
    <w:rsid w:val="B4E52418"/>
    <w:rsid w:val="B5E71352"/>
    <w:rsid w:val="B77F864F"/>
    <w:rsid w:val="B7FDD007"/>
    <w:rsid w:val="B7FF8E3A"/>
    <w:rsid w:val="B9B3EA9C"/>
    <w:rsid w:val="BAD6AD1A"/>
    <w:rsid w:val="BAF7B772"/>
    <w:rsid w:val="BB7FC54E"/>
    <w:rsid w:val="BD7BED5A"/>
    <w:rsid w:val="BEE77C2D"/>
    <w:rsid w:val="BF4E3BAC"/>
    <w:rsid w:val="BF7DA667"/>
    <w:rsid w:val="BF7F48F0"/>
    <w:rsid w:val="BFEB2949"/>
    <w:rsid w:val="BFFEDD38"/>
    <w:rsid w:val="CBBDEA81"/>
    <w:rsid w:val="CBFF43EE"/>
    <w:rsid w:val="CDFA8487"/>
    <w:rsid w:val="CEE399AA"/>
    <w:rsid w:val="CEFD0E2D"/>
    <w:rsid w:val="CF3A6D73"/>
    <w:rsid w:val="CF7B2C42"/>
    <w:rsid w:val="CFBC78AD"/>
    <w:rsid w:val="D5FFCB69"/>
    <w:rsid w:val="D6BE9061"/>
    <w:rsid w:val="D7972EB5"/>
    <w:rsid w:val="D7F9F148"/>
    <w:rsid w:val="D7FB7A2B"/>
    <w:rsid w:val="D7FD5EAC"/>
    <w:rsid w:val="DB7F212C"/>
    <w:rsid w:val="DBE7180B"/>
    <w:rsid w:val="DBFFD7D4"/>
    <w:rsid w:val="DC9E7CF1"/>
    <w:rsid w:val="DDFB4BC6"/>
    <w:rsid w:val="DE9B2146"/>
    <w:rsid w:val="DFB373E9"/>
    <w:rsid w:val="DFD7ED20"/>
    <w:rsid w:val="DFDABCE3"/>
    <w:rsid w:val="DFFD3A87"/>
    <w:rsid w:val="E519B20A"/>
    <w:rsid w:val="E5EFF87B"/>
    <w:rsid w:val="E75C64F6"/>
    <w:rsid w:val="E78E03FB"/>
    <w:rsid w:val="E7B396A7"/>
    <w:rsid w:val="E7BD0410"/>
    <w:rsid w:val="E7F6D3DA"/>
    <w:rsid w:val="E7FFE04D"/>
    <w:rsid w:val="EB6FDA09"/>
    <w:rsid w:val="EC6CCB52"/>
    <w:rsid w:val="ECDEB3A2"/>
    <w:rsid w:val="ED79A4BA"/>
    <w:rsid w:val="EE6E427C"/>
    <w:rsid w:val="EEFFA5FE"/>
    <w:rsid w:val="EF7B277A"/>
    <w:rsid w:val="EFB67BE3"/>
    <w:rsid w:val="EFBBA1B5"/>
    <w:rsid w:val="F36F5C8B"/>
    <w:rsid w:val="F39FA112"/>
    <w:rsid w:val="F3BFB3A7"/>
    <w:rsid w:val="F3FFCB11"/>
    <w:rsid w:val="F4FF7F7C"/>
    <w:rsid w:val="F67C4F91"/>
    <w:rsid w:val="F6FB492F"/>
    <w:rsid w:val="F756BFEE"/>
    <w:rsid w:val="F77B0299"/>
    <w:rsid w:val="F7DF552B"/>
    <w:rsid w:val="F7FDA7ED"/>
    <w:rsid w:val="F7FDCD8B"/>
    <w:rsid w:val="FAF6CB86"/>
    <w:rsid w:val="FB2DB06D"/>
    <w:rsid w:val="FB7FD792"/>
    <w:rsid w:val="FB99BB50"/>
    <w:rsid w:val="FBADFBBA"/>
    <w:rsid w:val="FBD183AC"/>
    <w:rsid w:val="FBDE2A7B"/>
    <w:rsid w:val="FBFABF7A"/>
    <w:rsid w:val="FBFF0733"/>
    <w:rsid w:val="FCBF5F94"/>
    <w:rsid w:val="FD7EDCC0"/>
    <w:rsid w:val="FDDBF493"/>
    <w:rsid w:val="FDEF112E"/>
    <w:rsid w:val="FDFF322F"/>
    <w:rsid w:val="FE9B7704"/>
    <w:rsid w:val="FE9E709B"/>
    <w:rsid w:val="FEAF7A3F"/>
    <w:rsid w:val="FEEE083C"/>
    <w:rsid w:val="FEFE4EF8"/>
    <w:rsid w:val="FF7A3D41"/>
    <w:rsid w:val="FF95F49B"/>
    <w:rsid w:val="FFBFC8A4"/>
    <w:rsid w:val="FFD0F69D"/>
    <w:rsid w:val="FFEF9C06"/>
    <w:rsid w:val="FFF59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imes New Roman"/>
      <w:kern w:val="2"/>
      <w:sz w:val="24"/>
      <w:szCs w:val="21"/>
      <w:lang w:val="en-US" w:eastAsia="zh-CN" w:bidi="ar-SA"/>
    </w:rPr>
  </w:style>
  <w:style w:type="paragraph" w:styleId="2">
    <w:name w:val="heading 1"/>
    <w:basedOn w:val="1"/>
    <w:next w:val="1"/>
    <w:qFormat/>
    <w:uiPriority w:val="0"/>
    <w:pPr>
      <w:keepNext/>
      <w:keepLines/>
      <w:numPr>
        <w:ilvl w:val="0"/>
        <w:numId w:val="1"/>
      </w:numPr>
      <w:ind w:left="0"/>
      <w:outlineLvl w:val="0"/>
    </w:pPr>
    <w:rPr>
      <w:b/>
      <w:bCs/>
      <w:kern w:val="44"/>
      <w:szCs w:val="44"/>
    </w:rPr>
  </w:style>
  <w:style w:type="paragraph" w:styleId="3">
    <w:name w:val="heading 2"/>
    <w:basedOn w:val="1"/>
    <w:next w:val="1"/>
    <w:qFormat/>
    <w:uiPriority w:val="0"/>
    <w:pPr>
      <w:keepNext/>
      <w:keepLines/>
      <w:numPr>
        <w:ilvl w:val="1"/>
        <w:numId w:val="1"/>
      </w:numPr>
      <w:ind w:left="0"/>
      <w:outlineLvl w:val="1"/>
    </w:pPr>
    <w:rPr>
      <w:b/>
      <w:bCs/>
      <w:szCs w:val="32"/>
    </w:rPr>
  </w:style>
  <w:style w:type="paragraph" w:styleId="4">
    <w:name w:val="heading 3"/>
    <w:basedOn w:val="1"/>
    <w:next w:val="1"/>
    <w:unhideWhenUsed/>
    <w:qFormat/>
    <w:uiPriority w:val="0"/>
    <w:pPr>
      <w:keepNext/>
      <w:keepLines/>
      <w:outlineLvl w:val="2"/>
    </w:pPr>
    <w:rPr>
      <w:b/>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4"/>
    <w:qFormat/>
    <w:uiPriority w:val="0"/>
    <w:pPr>
      <w:jc w:val="left"/>
    </w:pPr>
  </w:style>
  <w:style w:type="paragraph" w:styleId="6">
    <w:name w:val="Balloon Text"/>
    <w:basedOn w:val="1"/>
    <w:link w:val="16"/>
    <w:uiPriority w:val="0"/>
    <w:pPr>
      <w:spacing w:line="240" w:lineRule="auto"/>
    </w:pPr>
    <w:rPr>
      <w:sz w:val="18"/>
      <w:szCs w:val="18"/>
    </w:rPr>
  </w:style>
  <w:style w:type="paragraph" w:styleId="7">
    <w:name w:val="Normal (Web)"/>
    <w:basedOn w:val="1"/>
    <w:qFormat/>
    <w:uiPriority w:val="0"/>
    <w:pPr>
      <w:spacing w:beforeAutospacing="1" w:afterAutospacing="1"/>
      <w:jc w:val="left"/>
    </w:pPr>
    <w:rPr>
      <w:kern w:val="0"/>
    </w:rPr>
  </w:style>
  <w:style w:type="paragraph" w:styleId="8">
    <w:name w:val="annotation subject"/>
    <w:basedOn w:val="5"/>
    <w:next w:val="5"/>
    <w:link w:val="15"/>
    <w:uiPriority w:val="0"/>
    <w:rPr>
      <w:b/>
      <w:bCs/>
    </w:rPr>
  </w:style>
  <w:style w:type="character" w:styleId="11">
    <w:name w:val="annotation reference"/>
    <w:basedOn w:val="10"/>
    <w:qFormat/>
    <w:uiPriority w:val="0"/>
    <w:rPr>
      <w:sz w:val="21"/>
      <w:szCs w:val="21"/>
    </w:rPr>
  </w:style>
  <w:style w:type="paragraph" w:customStyle="1" w:styleId="12">
    <w:name w:val="列出段落1"/>
    <w:basedOn w:val="1"/>
    <w:qFormat/>
    <w:uiPriority w:val="34"/>
    <w:pPr>
      <w:widowControl/>
      <w:spacing w:line="300" w:lineRule="auto"/>
      <w:ind w:left="420" w:firstLine="420" w:firstLineChars="200"/>
    </w:pPr>
    <w:rPr>
      <w:rFonts w:ascii="Calibri" w:hAnsi="Calibri"/>
      <w:snapToGrid w:val="0"/>
      <w:kern w:val="0"/>
    </w:rPr>
  </w:style>
  <w:style w:type="paragraph" w:customStyle="1" w:styleId="13">
    <w:name w:val="Normal1"/>
    <w:basedOn w:val="1"/>
    <w:qFormat/>
    <w:uiPriority w:val="0"/>
    <w:pPr>
      <w:widowControl/>
      <w:overflowPunct w:val="0"/>
      <w:autoSpaceDE w:val="0"/>
      <w:autoSpaceDN w:val="0"/>
      <w:adjustRightInd w:val="0"/>
      <w:textAlignment w:val="baseline"/>
    </w:pPr>
    <w:rPr>
      <w:kern w:val="0"/>
      <w:szCs w:val="20"/>
    </w:rPr>
  </w:style>
  <w:style w:type="character" w:customStyle="1" w:styleId="14">
    <w:name w:val="批注文字 字符"/>
    <w:basedOn w:val="10"/>
    <w:link w:val="5"/>
    <w:qFormat/>
    <w:uiPriority w:val="0"/>
    <w:rPr>
      <w:rFonts w:ascii="宋体" w:hAnsi="宋体"/>
      <w:kern w:val="2"/>
      <w:sz w:val="24"/>
      <w:szCs w:val="21"/>
    </w:rPr>
  </w:style>
  <w:style w:type="character" w:customStyle="1" w:styleId="15">
    <w:name w:val="批注主题 字符"/>
    <w:basedOn w:val="14"/>
    <w:link w:val="8"/>
    <w:qFormat/>
    <w:uiPriority w:val="0"/>
    <w:rPr>
      <w:rFonts w:ascii="宋体" w:hAnsi="宋体"/>
      <w:b/>
      <w:bCs/>
      <w:kern w:val="2"/>
      <w:sz w:val="24"/>
      <w:szCs w:val="21"/>
    </w:rPr>
  </w:style>
  <w:style w:type="character" w:customStyle="1" w:styleId="16">
    <w:name w:val="批注框文本 字符"/>
    <w:basedOn w:val="10"/>
    <w:link w:val="6"/>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12</Pages>
  <Words>6711</Words>
  <Characters>6962</Characters>
  <Lines>50</Lines>
  <Paragraphs>14</Paragraphs>
  <TotalTime>66</TotalTime>
  <ScaleCrop>false</ScaleCrop>
  <LinksUpToDate>false</LinksUpToDate>
  <CharactersWithSpaces>7026</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2025-07-01T07:12:00Z</dcterms:created>
  <dc:creator>gmcc</dc:creator>
  <cp:lastModifiedBy>tangt</cp:lastModifiedBy>
  <dcterms:modified xsi:type="dcterms:W3CDTF">2026-07-02T17:32:56Z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500D2D20F3984E56AFB8AA5F484135AE</vt:lpwstr>
  </property>
  <property fmtid="{D5CDD505-2E9C-101B-9397-08002B2CF9AE}" pid="4" name="KSOTemplateDocerSaveRecord">
    <vt:lpwstr>eyJoZGlkIjoiMjAwYTg1YzFhZTMzN2JjOWQyMGM3NDY2MzMyMTRjODIiLCJ1c2VySWQiOiIyNDA4Mjk1NyJ9</vt:lpwstr>
  </property>
</Properties>
</file>